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100" w:beforeLines="0" w:after="0" w:afterLines="0" w:line="240" w:lineRule="auto"/>
        <w:ind w:left="0" w:leftChars="0" w:right="0" w:rightChars="0" w:firstLine="0" w:firstLineChars="0"/>
        <w:jc w:val="both"/>
        <w:textAlignment w:val="auto"/>
        <w:outlineLvl w:val="0"/>
        <w:rPr>
          <w:rFonts w:hint="eastAsia" w:ascii="宋体" w:hAnsi="宋体" w:eastAsia="宋体" w:cs="宋体"/>
          <w:sz w:val="36"/>
          <w:szCs w:val="36"/>
          <w:lang w:eastAsia="zh-CN"/>
        </w:rPr>
      </w:pPr>
      <w:r>
        <w:rPr>
          <w:rFonts w:hint="eastAsia" w:ascii="宋体" w:hAnsi="宋体" w:eastAsia="宋体" w:cs="宋体"/>
          <w:sz w:val="36"/>
          <w:szCs w:val="36"/>
          <w:lang w:val="en-US" w:eastAsia="zh-CN"/>
        </w:rPr>
        <w:t xml:space="preserve"> </w:t>
      </w:r>
      <w:r>
        <w:rPr>
          <w:rFonts w:hint="eastAsia" w:ascii="宋体" w:hAnsi="宋体" w:eastAsia="宋体" w:cs="宋体"/>
          <w:sz w:val="36"/>
          <w:szCs w:val="36"/>
          <w:lang w:eastAsia="zh-CN"/>
        </w:rPr>
        <w:t>商务要求</w:t>
      </w:r>
    </w:p>
    <w:p>
      <w:pPr>
        <w:pStyle w:val="3"/>
        <w:pageBreakBefore w:val="0"/>
        <w:widowControl w:val="0"/>
        <w:kinsoku/>
        <w:wordWrap/>
        <w:overflowPunct/>
        <w:topLinePunct w:val="0"/>
        <w:autoSpaceDE/>
        <w:autoSpaceDN/>
        <w:bidi w:val="0"/>
        <w:adjustRightInd/>
        <w:snapToGrid/>
        <w:spacing w:before="0" w:line="240" w:lineRule="auto"/>
        <w:ind w:left="0" w:leftChars="0" w:right="0" w:rightChars="0" w:firstLine="235" w:firstLineChars="98"/>
        <w:jc w:val="both"/>
        <w:textAlignment w:val="auto"/>
        <w:rPr>
          <w:rFonts w:hint="eastAsia" w:ascii="宋体" w:hAnsi="宋体" w:eastAsia="宋体" w:cs="宋体"/>
          <w:sz w:val="24"/>
          <w:szCs w:val="24"/>
        </w:rPr>
      </w:pPr>
      <w:bookmarkStart w:id="0" w:name="_Toc217446094"/>
      <w:r>
        <w:rPr>
          <w:rFonts w:hint="eastAsia" w:ascii="宋体" w:hAnsi="宋体" w:eastAsia="宋体" w:cs="宋体"/>
          <w:sz w:val="24"/>
          <w:szCs w:val="24"/>
        </w:rPr>
        <w:t>（一）项目概述</w:t>
      </w:r>
      <w:bookmarkEnd w:id="0"/>
    </w:p>
    <w:p>
      <w:pPr>
        <w:pageBreakBefore w:val="0"/>
        <w:widowControl w:val="0"/>
        <w:kinsoku/>
        <w:wordWrap/>
        <w:overflowPunct/>
        <w:topLinePunct w:val="0"/>
        <w:autoSpaceDE/>
        <w:autoSpaceDN/>
        <w:bidi w:val="0"/>
        <w:adjustRightInd/>
        <w:snapToGrid/>
        <w:spacing w:after="156" w:afterLines="50" w:line="240" w:lineRule="auto"/>
        <w:ind w:left="0" w:leftChars="0" w:right="0" w:rightChars="0" w:firstLine="464" w:firstLineChars="200"/>
        <w:jc w:val="both"/>
        <w:textAlignment w:val="auto"/>
        <w:rPr>
          <w:rFonts w:hint="eastAsia" w:ascii="宋体" w:hAnsi="宋体" w:eastAsia="宋体" w:cs="宋体"/>
          <w:color w:val="000000"/>
          <w:spacing w:val="-4"/>
          <w:sz w:val="24"/>
          <w:szCs w:val="24"/>
        </w:rPr>
      </w:pPr>
      <w:bookmarkStart w:id="1" w:name="_Toc217446095"/>
      <w:r>
        <w:rPr>
          <w:rFonts w:hint="eastAsia" w:ascii="宋体" w:hAnsi="宋体" w:eastAsia="宋体" w:cs="宋体"/>
          <w:color w:val="000000"/>
          <w:spacing w:val="-4"/>
          <w:sz w:val="24"/>
          <w:szCs w:val="24"/>
        </w:rPr>
        <w:t>本项目共1包，</w:t>
      </w:r>
      <w:r>
        <w:rPr>
          <w:rFonts w:hint="eastAsia" w:ascii="宋体" w:hAnsi="宋体" w:eastAsia="宋体" w:cs="宋体"/>
          <w:b/>
          <w:bCs/>
          <w:color w:val="000000"/>
          <w:spacing w:val="-4"/>
          <w:sz w:val="24"/>
          <w:szCs w:val="24"/>
        </w:rPr>
        <w:t>信息处理与控制工程实验教学中心</w:t>
      </w:r>
      <w:r>
        <w:rPr>
          <w:rFonts w:hint="eastAsia" w:ascii="宋体" w:hAnsi="宋体" w:eastAsia="宋体" w:cs="宋体"/>
          <w:b/>
          <w:bCs/>
          <w:color w:val="000000"/>
          <w:spacing w:val="-4"/>
          <w:sz w:val="24"/>
          <w:szCs w:val="24"/>
          <w:lang w:eastAsia="zh-CN"/>
        </w:rPr>
        <w:t>实验室建设</w:t>
      </w:r>
      <w:r>
        <w:rPr>
          <w:rFonts w:hint="eastAsia" w:ascii="宋体" w:hAnsi="宋体" w:eastAsia="宋体" w:cs="宋体"/>
          <w:b/>
          <w:bCs/>
          <w:color w:val="000000"/>
          <w:spacing w:val="-4"/>
          <w:sz w:val="24"/>
          <w:szCs w:val="24"/>
          <w:lang w:val="en-US" w:eastAsia="zh-CN"/>
        </w:rPr>
        <w:t>项目</w:t>
      </w:r>
    </w:p>
    <w:p>
      <w:pPr>
        <w:pStyle w:val="3"/>
        <w:spacing w:line="240" w:lineRule="auto"/>
        <w:ind w:firstLine="235" w:firstLineChars="98"/>
        <w:rPr>
          <w:rFonts w:hint="eastAsia" w:ascii="宋体" w:hAnsi="宋体" w:eastAsia="宋体" w:cs="宋体"/>
          <w:sz w:val="24"/>
          <w:szCs w:val="24"/>
        </w:rPr>
      </w:pPr>
      <w:r>
        <w:rPr>
          <w:rFonts w:hint="eastAsia" w:ascii="宋体" w:hAnsi="宋体" w:eastAsia="宋体" w:cs="宋体"/>
          <w:sz w:val="24"/>
          <w:szCs w:val="24"/>
        </w:rPr>
        <w:t>（二）商务要求</w:t>
      </w:r>
    </w:p>
    <w:p>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1．交货期及地点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1.1 交货期：合同签订后1个月内</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1.2 交货地点：业主指定地点</w:t>
      </w:r>
    </w:p>
    <w:p>
      <w:pPr>
        <w:tabs>
          <w:tab w:val="left" w:pos="1095"/>
        </w:tabs>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2．付款方法和条件：</w:t>
      </w:r>
    </w:p>
    <w:p>
      <w:pPr>
        <w:tabs>
          <w:tab w:val="left" w:pos="1095"/>
        </w:tabs>
        <w:spacing w:line="40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安装验收合格后15个工作日内支付合同总额的90%，使用一年无质量问题后，7个工作日内支付合同总额的10% 。</w:t>
      </w:r>
    </w:p>
    <w:p>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3.质保期：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3.1整机设备质保期为 1 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3.2质保期内卖方应免费负责设备维修及抢修。</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3.3卖方保证年开机率大于95％（365天/年计算），若≤95％则相应延长保修期</w:t>
      </w:r>
    </w:p>
    <w:p>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4. 提供的技术资料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4.1原产地证明书(由制造厂签发)；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4.2提供主机及配套设备的安装图纸及说明；</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4.3提供主机及配套设备使用说明书、维护手册；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4.4备件手册、零件及易损件的图纸及相关资料；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4.5其它相关技术资料：</w:t>
      </w:r>
    </w:p>
    <w:p>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5.安装调试及验收：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5.1卖方负责设备安装、调试。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5.2货物到达生产现场后，卖方接到买方通知后7日内到达现场组织安装、调试，达到正常运行要求，保证买方正常使用。所需的费用包括在投标总价格中。</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5.3卖方应就设备的安装、调试、操作、维修、保养等对买方维修技术人员进行培训。设备安装调试完毕后，卖方应对买方操作人员进行现场培训，直至买方的技术人员能独立操作，同时能完成一般常见故障的维修工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5.4验收标准以招标文件技术参数及要求和相关行业标准为准。</w:t>
      </w:r>
    </w:p>
    <w:p>
      <w:pPr>
        <w:spacing w:line="400" w:lineRule="exact"/>
        <w:jc w:val="left"/>
        <w:rPr>
          <w:rFonts w:hint="eastAsia" w:ascii="宋体" w:hAnsi="宋体" w:eastAsia="宋体" w:cs="宋体"/>
          <w:bCs/>
          <w:sz w:val="24"/>
          <w:szCs w:val="24"/>
        </w:rPr>
      </w:pPr>
      <w:r>
        <w:rPr>
          <w:rFonts w:hint="eastAsia" w:ascii="宋体" w:hAnsi="宋体" w:eastAsia="宋体" w:cs="宋体"/>
          <w:bCs/>
          <w:sz w:val="24"/>
          <w:szCs w:val="24"/>
        </w:rPr>
        <w:t>6.售后服务：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6.1提供有关资料及售后服务承诺。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6.2备件送达期限：在设备的使用寿命期内，卖方应保证国内不超过7天，国外不超过21天。</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6.3终身零配件供应：投标人应保证设备停产后的备件供应保证</w:t>
      </w:r>
      <w:r>
        <w:rPr>
          <w:rFonts w:hint="eastAsia" w:ascii="宋体" w:hAnsi="宋体" w:eastAsia="宋体" w:cs="宋体"/>
          <w:sz w:val="24"/>
          <w:szCs w:val="24"/>
          <w:lang w:val="en-US" w:eastAsia="zh-CN"/>
        </w:rPr>
        <w:t>5</w:t>
      </w:r>
      <w:r>
        <w:rPr>
          <w:rFonts w:hint="eastAsia" w:ascii="宋体" w:hAnsi="宋体" w:eastAsia="宋体" w:cs="宋体"/>
          <w:sz w:val="24"/>
          <w:szCs w:val="24"/>
        </w:rPr>
        <w:t>年，并以优惠的价格提供该设备所需的维修零配件。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6.4卖方在国内应有24小时电话维修系统，并列出工程师名单、联系电话、通讯地址及备件库地址和备件的详细目录。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6.5质保期后，卖方应向用户提供及时的、优质的、价格优惠的技术服务和备品备件供应。</w:t>
      </w:r>
    </w:p>
    <w:p>
      <w:pPr>
        <w:pStyle w:val="3"/>
        <w:numPr>
          <w:ilvl w:val="0"/>
          <w:numId w:val="1"/>
        </w:numPr>
        <w:spacing w:line="400" w:lineRule="exact"/>
        <w:ind w:firstLine="235" w:firstLineChars="98"/>
        <w:rPr>
          <w:rFonts w:hint="eastAsia" w:ascii="宋体" w:hAnsi="宋体" w:eastAsia="宋体" w:cs="宋体"/>
          <w:sz w:val="24"/>
          <w:szCs w:val="24"/>
        </w:rPr>
      </w:pPr>
      <w:r>
        <w:rPr>
          <w:rFonts w:hint="eastAsia" w:ascii="宋体" w:hAnsi="宋体" w:eastAsia="宋体" w:cs="宋体"/>
          <w:sz w:val="24"/>
          <w:szCs w:val="24"/>
        </w:rPr>
        <w:t>技术、服务要求</w:t>
      </w:r>
      <w:bookmarkEnd w:id="1"/>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238"/>
        <w:gridCol w:w="3562"/>
        <w:gridCol w:w="738"/>
        <w:gridCol w:w="858"/>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bookmarkStart w:id="2" w:name="_GoBack"/>
            <w:r>
              <w:rPr>
                <w:rFonts w:hint="eastAsia" w:ascii="宋体" w:hAnsi="宋体" w:eastAsia="宋体" w:cs="宋体"/>
                <w:color w:val="000000" w:themeColor="text1"/>
                <w:sz w:val="24"/>
                <w:szCs w:val="24"/>
                <w:vertAlign w:val="baseline"/>
                <w:lang w:eastAsia="zh-CN"/>
                <w14:textFill>
                  <w14:solidFill>
                    <w14:schemeClr w14:val="tx1"/>
                  </w14:solidFill>
                </w14:textFill>
              </w:rPr>
              <w:t>序号</w:t>
            </w:r>
          </w:p>
        </w:tc>
        <w:tc>
          <w:tcPr>
            <w:tcW w:w="1238"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设备名称</w:t>
            </w:r>
          </w:p>
        </w:tc>
        <w:tc>
          <w:tcPr>
            <w:tcW w:w="3562"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技术指标及性能说明</w:t>
            </w:r>
          </w:p>
        </w:tc>
        <w:tc>
          <w:tcPr>
            <w:tcW w:w="738"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数量</w:t>
            </w:r>
          </w:p>
        </w:tc>
        <w:tc>
          <w:tcPr>
            <w:tcW w:w="858"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单位</w:t>
            </w:r>
          </w:p>
        </w:tc>
        <w:tc>
          <w:tcPr>
            <w:tcW w:w="1421" w:type="dxa"/>
          </w:tcPr>
          <w:p>
            <w:pPr>
              <w:numPr>
                <w:ilvl w:val="0"/>
                <w:numId w:val="0"/>
              </w:numPr>
              <w:spacing w:line="240" w:lineRule="auto"/>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1</w:t>
            </w:r>
          </w:p>
        </w:tc>
        <w:tc>
          <w:tcPr>
            <w:tcW w:w="12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电气控制及继电保护试验台</w:t>
            </w:r>
          </w:p>
        </w:tc>
        <w:tc>
          <w:tcPr>
            <w:tcW w:w="3562" w:type="dxa"/>
          </w:tcPr>
          <w:p>
            <w:pPr>
              <w:widowControl/>
              <w:spacing w:line="240" w:lineRule="auto"/>
              <w:ind w:left="210" w:leftChars="50" w:hanging="105" w:hangingChars="50"/>
              <w:jc w:val="left"/>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lang w:eastAsia="zh-CN"/>
                <w14:textFill>
                  <w14:solidFill>
                    <w14:schemeClr w14:val="tx1"/>
                  </w14:solidFill>
                </w14:textFill>
              </w:rPr>
              <w:t>整体要求：</w:t>
            </w:r>
          </w:p>
          <w:p>
            <w:pPr>
              <w:widowControl/>
              <w:spacing w:line="240" w:lineRule="auto"/>
              <w:ind w:left="210" w:leftChars="50" w:hanging="105" w:hanging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★实验系统安全可靠、操作方便灵活，既</w:t>
            </w:r>
            <w:r>
              <w:rPr>
                <w:rFonts w:hint="eastAsia" w:ascii="宋体" w:hAnsi="宋体" w:eastAsia="宋体" w:cs="宋体"/>
                <w:color w:val="000000" w:themeColor="text1"/>
                <w:sz w:val="21"/>
                <w:szCs w:val="21"/>
                <w:lang w:eastAsia="zh-CN"/>
                <w14:textFill>
                  <w14:solidFill>
                    <w14:schemeClr w14:val="tx1"/>
                  </w14:solidFill>
                </w14:textFill>
              </w:rPr>
              <w:t>是</w:t>
            </w:r>
            <w:r>
              <w:rPr>
                <w:rFonts w:hint="eastAsia" w:ascii="宋体" w:hAnsi="宋体" w:eastAsia="宋体" w:cs="宋体"/>
                <w:color w:val="000000" w:themeColor="text1"/>
                <w:sz w:val="21"/>
                <w:szCs w:val="21"/>
                <w14:textFill>
                  <w14:solidFill>
                    <w14:schemeClr w14:val="tx1"/>
                  </w14:solidFill>
                </w14:textFill>
              </w:rPr>
              <w:t>学生的实验平台又可作</w:t>
            </w:r>
            <w:r>
              <w:rPr>
                <w:rFonts w:hint="eastAsia" w:ascii="宋体" w:hAnsi="宋体" w:eastAsia="宋体" w:cs="宋体"/>
                <w:color w:val="000000" w:themeColor="text1"/>
                <w:sz w:val="21"/>
                <w:szCs w:val="21"/>
                <w:lang w:eastAsia="zh-CN"/>
                <w14:textFill>
                  <w14:solidFill>
                    <w14:schemeClr w14:val="tx1"/>
                  </w14:solidFill>
                </w14:textFill>
              </w:rPr>
              <w:t>为</w:t>
            </w:r>
            <w:r>
              <w:rPr>
                <w:rFonts w:hint="eastAsia" w:ascii="宋体" w:hAnsi="宋体" w:eastAsia="宋体" w:cs="宋体"/>
                <w:color w:val="000000" w:themeColor="text1"/>
                <w:sz w:val="21"/>
                <w:szCs w:val="21"/>
                <w14:textFill>
                  <w14:solidFill>
                    <w14:schemeClr w14:val="tx1"/>
                  </w14:solidFill>
                </w14:textFill>
              </w:rPr>
              <w:t>老师的科研平台</w:t>
            </w:r>
            <w:r>
              <w:rPr>
                <w:rFonts w:hint="eastAsia" w:ascii="宋体" w:hAnsi="宋体" w:eastAsia="宋体" w:cs="宋体"/>
                <w:color w:val="000000" w:themeColor="text1"/>
                <w:sz w:val="21"/>
                <w:szCs w:val="21"/>
                <w:lang w:eastAsia="zh-CN"/>
                <w14:textFill>
                  <w14:solidFill>
                    <w14:schemeClr w14:val="tx1"/>
                  </w14:solidFill>
                </w14:textFill>
              </w:rPr>
              <w:t>。</w:t>
            </w:r>
          </w:p>
          <w:p>
            <w:pPr>
              <w:widowControl/>
              <w:spacing w:line="240" w:lineRule="auto"/>
              <w:ind w:firstLine="105" w:firstLine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★微机保护装置具有自主介入编程软件功能，学生可以参与编程，而不影响装置性能。</w:t>
            </w:r>
          </w:p>
          <w:p>
            <w:pPr>
              <w:widowControl/>
              <w:spacing w:line="240" w:lineRule="auto"/>
              <w:ind w:left="210" w:leftChars="50" w:hanging="105" w:hanging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★微机保护部分具有自主知识产权，方便升级和售后维护（提供加盖生产厂商公章的复印件）。 </w:t>
            </w:r>
          </w:p>
          <w:p>
            <w:pPr>
              <w:widowControl/>
              <w:spacing w:line="240" w:lineRule="auto"/>
              <w:ind w:left="210" w:hanging="210" w:hangingChars="1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i/>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提供省部级电力检测机构出具的产品性能检测报告。</w:t>
            </w:r>
          </w:p>
          <w:p>
            <w:pPr>
              <w:widowControl/>
              <w:spacing w:line="24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现场提供满足招标要求的产品彩页、实验指导书</w:t>
            </w:r>
            <w:r>
              <w:rPr>
                <w:rFonts w:hint="eastAsia" w:ascii="宋体" w:hAnsi="宋体" w:eastAsia="宋体" w:cs="宋体"/>
                <w:color w:val="000000" w:themeColor="text1"/>
                <w:sz w:val="21"/>
                <w:szCs w:val="21"/>
                <w:lang w:eastAsia="zh-CN"/>
                <w14:textFill>
                  <w14:solidFill>
                    <w14:schemeClr w14:val="tx1"/>
                  </w14:solidFill>
                </w14:textFill>
              </w:rPr>
              <w:t>。</w:t>
            </w:r>
          </w:p>
          <w:p>
            <w:pPr>
              <w:widowControl/>
              <w:spacing w:line="240" w:lineRule="auto"/>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2.技术参数：</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A．具有常规电磁型电流、电压、方向、差动、负序、重合闸等继电器既可完成单个继电器特性实验，又可完成多种继电器的组合实验（继电器必须采用正规许昌、许继电器厂产品、移相器须为三相数字式移相器）。</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B．具有微机保护，可完成电流、电压保护，变压器保护、阻抗保护，微机保护测量值优于1%。</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★C．学生、老师可以利用设备上既有的硬件进行介入编程，因此可以用于学生实验、学习编程。</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D．具有很好的综合性，既可做保护试验，又可做二次控制试验，并带有声光警示；</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E．实验系统能进行各种故障类型试验。</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F．结合教学与课程设计，用户可以用电磁型差动继电器做试验，也可以改用整流型差动继电器做试验。</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G．具有可更换模块，可以根据用户需求增加各种类型的继电保护试验或自动装置试验模块。</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H．安装方便、扩展性强。具有多重保护：保护人身安全、设备安全。</w:t>
            </w:r>
          </w:p>
          <w:p>
            <w:pPr>
              <w:widowControl/>
              <w:numPr>
                <w:ilvl w:val="0"/>
                <w:numId w:val="0"/>
              </w:numPr>
              <w:spacing w:line="240" w:lineRule="auto"/>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I．输入电源：380V±10%  50Hz，容量不大于9KVA</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J．工作环境：温度－10℃～＋40℃　相对湿度＜85%（25℃）</w:t>
            </w:r>
          </w:p>
          <w:p>
            <w:pPr>
              <w:spacing w:line="240" w:lineRule="auto"/>
              <w:rPr>
                <w:rFonts w:hint="eastAsia" w:ascii="宋体" w:hAnsi="宋体" w:eastAsia="宋体" w:cs="宋体"/>
                <w:b w:val="0"/>
                <w:bCs/>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14:textFill>
                  <w14:solidFill>
                    <w14:schemeClr w14:val="tx1"/>
                  </w14:solidFill>
                </w14:textFill>
              </w:rPr>
              <w:t>2)能完成</w:t>
            </w:r>
            <w:r>
              <w:rPr>
                <w:rFonts w:hint="eastAsia" w:ascii="宋体" w:hAnsi="宋体" w:eastAsia="宋体" w:cs="宋体"/>
                <w:b w:val="0"/>
                <w:bCs/>
                <w:color w:val="000000" w:themeColor="text1"/>
                <w:sz w:val="21"/>
                <w:szCs w:val="21"/>
                <w:lang w:eastAsia="zh-CN"/>
                <w14:textFill>
                  <w14:solidFill>
                    <w14:schemeClr w14:val="tx1"/>
                  </w14:solidFill>
                </w14:textFill>
              </w:rPr>
              <w:t>如下</w:t>
            </w:r>
            <w:r>
              <w:rPr>
                <w:rFonts w:hint="eastAsia" w:ascii="宋体" w:hAnsi="宋体" w:eastAsia="宋体" w:cs="宋体"/>
                <w:b w:val="0"/>
                <w:bCs/>
                <w:color w:val="000000" w:themeColor="text1"/>
                <w:sz w:val="21"/>
                <w:szCs w:val="21"/>
                <w14:textFill>
                  <w14:solidFill>
                    <w14:schemeClr w14:val="tx1"/>
                  </w14:solidFill>
                </w14:textFill>
              </w:rPr>
              <w:t>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A．各种常规继电器特性实验；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B．继电保护实验及综合实验；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C．电气二次控制回路实验；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D．自动装置实验；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E．微机线路保护实验、综合实验；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F．微机变压器保护实验；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★G．微机变压器保护与差动继电器联合试验；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H．微机阻抗保护实验；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I．闪光继电器，闪光灯，蜂鸣器试验。</w:t>
            </w:r>
          </w:p>
          <w:p>
            <w:pPr>
              <w:widowControl/>
              <w:numPr>
                <w:ilvl w:val="0"/>
                <w:numId w:val="0"/>
              </w:numPr>
              <w:spacing w:line="240" w:lineRule="auto"/>
              <w:ind w:firstLine="420"/>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★J.学生、老师可以利用设备上既有的硬件进行介入编程。</w:t>
            </w:r>
          </w:p>
          <w:p>
            <w:pPr>
              <w:spacing w:line="240" w:lineRule="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val="en-US" w:eastAsia="zh-CN"/>
                <w14:textFill>
                  <w14:solidFill>
                    <w14:schemeClr w14:val="tx1"/>
                  </w14:solidFill>
                </w14:textFill>
              </w:rPr>
              <w:t>3</w:t>
            </w:r>
            <w:r>
              <w:rPr>
                <w:rFonts w:hint="eastAsia" w:ascii="宋体" w:hAnsi="宋体" w:eastAsia="宋体" w:cs="宋体"/>
                <w:b/>
                <w:color w:val="000000" w:themeColor="text1"/>
                <w:sz w:val="21"/>
                <w:szCs w:val="21"/>
                <w14:textFill>
                  <w14:solidFill>
                    <w14:schemeClr w14:val="tx1"/>
                  </w14:solidFill>
                </w14:textFill>
              </w:rPr>
              <w:t>、配置不少于如下要求：</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1）升流器 ；</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2) 整流模块；</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3）三相调压器；</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4）数字交流电压表（0.5级）；</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5）数字交流电流表（0.5级）；</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6）数字直流电流表（0.5级）；</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7）控制回路；</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 8）三相数字式移相器；</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9）BX7D-1/6滑线式电阻（30</w:t>
            </w:r>
            <w:r>
              <w:rPr>
                <w:rFonts w:hint="eastAsia" w:ascii="宋体" w:hAnsi="宋体" w:eastAsia="宋体" w:cs="宋体"/>
                <w:color w:val="000000" w:themeColor="text1"/>
                <w:sz w:val="21"/>
                <w:szCs w:val="21"/>
                <w14:textFill>
                  <w14:solidFill>
                    <w14:schemeClr w14:val="tx1"/>
                  </w14:solidFill>
                </w14:textFill>
              </w:rPr>
              <w:sym w:font="Symbol" w:char="0057"/>
            </w:r>
            <w:r>
              <w:rPr>
                <w:rFonts w:hint="eastAsia" w:ascii="宋体" w:hAnsi="宋体" w:eastAsia="宋体" w:cs="宋体"/>
                <w:color w:val="000000" w:themeColor="text1"/>
                <w:sz w:val="21"/>
                <w:szCs w:val="21"/>
                <w14:textFill>
                  <w14:solidFill>
                    <w14:schemeClr w14:val="tx1"/>
                  </w14:solidFill>
                </w14:textFill>
              </w:rPr>
              <w:t>/5A）；</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10）BX7D-1/6滑线式电阻（3</w:t>
            </w:r>
            <w:r>
              <w:rPr>
                <w:rFonts w:hint="eastAsia" w:ascii="宋体" w:hAnsi="宋体" w:eastAsia="宋体" w:cs="宋体"/>
                <w:color w:val="000000" w:themeColor="text1"/>
                <w:sz w:val="21"/>
                <w:szCs w:val="21"/>
                <w14:textFill>
                  <w14:solidFill>
                    <w14:schemeClr w14:val="tx1"/>
                  </w14:solidFill>
                </w14:textFill>
              </w:rPr>
              <w:sym w:font="Symbol" w:char="0057"/>
            </w:r>
            <w:r>
              <w:rPr>
                <w:rFonts w:hint="eastAsia" w:ascii="宋体" w:hAnsi="宋体" w:eastAsia="宋体" w:cs="宋体"/>
                <w:color w:val="000000" w:themeColor="text1"/>
                <w:sz w:val="21"/>
                <w:szCs w:val="21"/>
                <w14:textFill>
                  <w14:solidFill>
                    <w14:schemeClr w14:val="tx1"/>
                  </w14:solidFill>
                </w14:textFill>
              </w:rPr>
              <w:t>/15A）；</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11）2KVA单相调压器；</w:t>
            </w:r>
          </w:p>
          <w:p>
            <w:pPr>
              <w:snapToGrid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12）DY-32电压继电器；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13）DY-4型负序电压继电器；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14）DL-31电流继电器；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15）DX-31B信号继电器；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16）DS-32时间继电器；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17）DZY-204中间继电器；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18）DZB-213中间继电器；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19）DZY-中间继电器；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20）LG-11功率方向继电器；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21）DCD-5A型差动继电器；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22）JX-3/1闪光继电器；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23）DCH-1重合闸（包含DS-32C）；</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★24）微机保护装置（包含电流电压、阻抗保护和变压器保护,具有介入式编程功能）；</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25）ZNB-II智能式多功能表； </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★26）BX8D-3/2型31</w:t>
            </w:r>
            <w:r>
              <w:rPr>
                <w:rFonts w:hint="eastAsia" w:ascii="宋体" w:hAnsi="宋体" w:eastAsia="宋体" w:cs="宋体"/>
                <w:color w:val="000000" w:themeColor="text1"/>
                <w:sz w:val="21"/>
                <w:szCs w:val="21"/>
                <w14:textFill>
                  <w14:solidFill>
                    <w14:schemeClr w14:val="tx1"/>
                  </w14:solidFill>
                </w14:textFill>
              </w:rPr>
              <w:sym w:font="Symbol" w:char="0057"/>
            </w:r>
            <w:r>
              <w:rPr>
                <w:rFonts w:hint="eastAsia" w:ascii="宋体" w:hAnsi="宋体" w:eastAsia="宋体" w:cs="宋体"/>
                <w:color w:val="000000" w:themeColor="text1"/>
                <w:sz w:val="21"/>
                <w:szCs w:val="21"/>
                <w14:textFill>
                  <w14:solidFill>
                    <w14:schemeClr w14:val="tx1"/>
                  </w14:solidFill>
                </w14:textFill>
              </w:rPr>
              <w:t>/10A三相滑线电阻器；</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27）系统电阻；</w:t>
            </w:r>
          </w:p>
          <w:p>
            <w:pPr>
              <w:spacing w:line="240" w:lineRule="auto"/>
              <w:ind w:left="210" w:leftChars="1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28）电压互感器；</w:t>
            </w:r>
          </w:p>
          <w:p>
            <w:pPr>
              <w:spacing w:line="240" w:lineRule="auto"/>
              <w:ind w:left="210" w:leftChars="1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29）5kVA  220/127V变压器；</w:t>
            </w:r>
          </w:p>
        </w:tc>
        <w:tc>
          <w:tcPr>
            <w:tcW w:w="7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5</w:t>
            </w:r>
          </w:p>
        </w:tc>
        <w:tc>
          <w:tcPr>
            <w:tcW w:w="85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台</w:t>
            </w:r>
          </w:p>
        </w:tc>
        <w:tc>
          <w:tcPr>
            <w:tcW w:w="1421" w:type="dxa"/>
          </w:tcPr>
          <w:p>
            <w:pPr>
              <w:numPr>
                <w:ilvl w:val="0"/>
                <w:numId w:val="0"/>
              </w:numPr>
              <w:spacing w:line="240" w:lineRule="auto"/>
              <w:rPr>
                <w:rFonts w:hint="eastAsia" w:ascii="宋体" w:hAnsi="宋体" w:eastAsia="宋体" w:cs="宋体"/>
                <w:color w:val="000000" w:themeColor="text1"/>
                <w:sz w:val="24"/>
                <w:szCs w:val="24"/>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2</w:t>
            </w:r>
          </w:p>
        </w:tc>
        <w:tc>
          <w:tcPr>
            <w:tcW w:w="12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微机保护集中控制台</w:t>
            </w:r>
          </w:p>
        </w:tc>
        <w:tc>
          <w:tcPr>
            <w:tcW w:w="3562" w:type="dxa"/>
          </w:tcPr>
          <w:p>
            <w:pPr>
              <w:numPr>
                <w:ilvl w:val="0"/>
                <w:numId w:val="2"/>
              </w:numPr>
              <w:spacing w:line="240" w:lineRule="auto"/>
              <w:rPr>
                <w:rFonts w:hint="eastAsia" w:ascii="宋体" w:hAnsi="宋体" w:eastAsia="宋体" w:cs="宋体"/>
                <w:b/>
                <w:bCs/>
                <w:color w:val="000000" w:themeColor="text1"/>
                <w:sz w:val="21"/>
                <w:szCs w:val="21"/>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整体要求：</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可以将多台带有微机保护的实验台组合成一个集控式微机保护实验系统。每台保护实验台可以单独开出实验，同时组成一个监控系统。实现远方的操作和监视功能：</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（1）远方读取整定值并修改整定值；</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（2）远方操作开关跳、合闸；</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（3）当整定值由于学生误设置而出现错误时，可以迅速恢复原定值；</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（4）多级密码设置；</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（5）记录数据；</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（6）故障标志清除；</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（7）数据库管理（打印）；</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（8）定值打印；</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（9）允许多台微机保护联网也可用于单台；</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（10）允许用串口或以太网组网；</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★（11）上位机显示主接线、潮流；直接编程下传；</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（12）打印报表及试验结果；</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★（13）学生可以参与编程，而不影响装置性能等。</w:t>
            </w:r>
          </w:p>
          <w:p>
            <w:pPr>
              <w:numPr>
                <w:ilvl w:val="0"/>
                <w:numId w:val="2"/>
              </w:numPr>
              <w:spacing w:line="240" w:lineRule="auto"/>
              <w:rPr>
                <w:rFonts w:hint="eastAsia" w:ascii="宋体" w:hAnsi="宋体" w:eastAsia="宋体" w:cs="宋体"/>
                <w:b/>
                <w:bCs/>
                <w:color w:val="000000" w:themeColor="text1"/>
                <w:sz w:val="21"/>
                <w:szCs w:val="21"/>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技术参数：</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（1）将多台带有微机保护装置的实验台用RS485同微机保护集控台通讯；</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（2）能从远方读取整定值，能正确进行远方整定值的修改；</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（3）能正确进行远方的开关操作；</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（4）能对多台微机保护装置采样的潮流实时监视和报表打印。</w:t>
            </w:r>
          </w:p>
          <w:p>
            <w:pPr>
              <w:numPr>
                <w:ilvl w:val="0"/>
                <w:numId w:val="0"/>
              </w:numPr>
              <w:spacing w:line="240" w:lineRule="auto"/>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pP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5</w:t>
            </w:r>
            <w:r>
              <w:rPr>
                <w:rFonts w:hint="eastAsia" w:ascii="宋体" w:hAnsi="宋体" w:eastAsia="宋体" w:cs="宋体"/>
                <w:b w:val="0"/>
                <w:bCs w:val="0"/>
                <w:color w:val="000000" w:themeColor="text1"/>
                <w:sz w:val="21"/>
                <w:szCs w:val="21"/>
                <w:vertAlign w:val="baseline"/>
                <w:lang w:eastAsia="zh-CN"/>
                <w14:textFill>
                  <w14:solidFill>
                    <w14:schemeClr w14:val="tx1"/>
                  </w14:solidFill>
                </w14:textFill>
              </w:rPr>
              <w:t>）能与原有设备兼容通讯联网。</w:t>
            </w:r>
          </w:p>
          <w:p>
            <w:pPr>
              <w:numPr>
                <w:ilvl w:val="0"/>
                <w:numId w:val="0"/>
              </w:numPr>
              <w:spacing w:line="240" w:lineRule="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vertAlign w:val="baseline"/>
                <w:lang w:val="en-US" w:eastAsia="zh-CN"/>
                <w14:textFill>
                  <w14:solidFill>
                    <w14:schemeClr w14:val="tx1"/>
                  </w14:solidFill>
                </w14:textFill>
              </w:rPr>
              <w:t>3.配置要求如下：</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（1）微机保护集控台   1台</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（2）控制处理终端     1台</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widowControl/>
              <w:suppressLineNumbers w:val="0"/>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Intel Xeon E3-1225v5 四核处理器，主频≥3.3GHz，缓存≥8M；Intel C236及以上芯片组；8G DDR4 2133MHz ECC内存，最大可支持64G内存；</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★1TB 7200rpm SATA3硬盘，最大可支持4个3.5"硬盘槽位；提供M.2硬盘槽位，并支持NVMe SSD硬盘；</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 8个USB（6个USB 3.0）接口，串口，前置麦克风/音频接口、后置音频接口，提供VGA+2*DP视频接口，配置9合1读卡器，可选多功能扩展模块（支持多合一读卡器（29合1）、IEEE1394接口、eSATA接口）；配置1个PCIe Gen3.0x16、1个PCIe Gen 3.0x4（16长度）、2个PCIe Gen3.0x1；</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★250W 和 400W电源；</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★塔式标准机箱，内嵌式把手设计，易于搬运，后面板挂锁环：防止机器内关键部件被拆除；线锁插槽：防止机器被整机搬迁；</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★提供3C认证、EPEAT GLOD、Energy Star、GREENGUARD认证复印件并加盖厂商鲜章；</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★支持多点还原、职能排序、断点续传功能</w:t>
            </w:r>
            <w:r>
              <w:rPr>
                <w:rFonts w:hint="eastAsia"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★提供生产厂商针对本项目的售后服务承诺函 </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（3）工业控制计算机   1台</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  </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IPC-620-01,ECS-1823V2NA, P-E5300/2.6G，(带多串口通讯模块)(抗干扰)工控机，硬盘不低于500G，内存不低于2G，双核CPU）</w:t>
            </w:r>
          </w:p>
          <w:p>
            <w:pPr>
              <w:numPr>
                <w:ilvl w:val="0"/>
                <w:numId w:val="3"/>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液晶显示屏       1台</w:t>
            </w:r>
            <w:r>
              <w:rPr>
                <w:rFonts w:hint="eastAsia" w:ascii="宋体" w:hAnsi="宋体" w:eastAsia="宋体" w:cs="宋体"/>
                <w:color w:val="000000" w:themeColor="text1"/>
                <w:sz w:val="21"/>
                <w:szCs w:val="21"/>
                <w:lang w:eastAsia="zh-CN"/>
                <w14:textFill>
                  <w14:solidFill>
                    <w14:schemeClr w14:val="tx1"/>
                  </w14:solidFill>
                </w14:textFill>
              </w:rPr>
              <w:t>：</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品牌显示器，≧19寸</w:t>
            </w:r>
          </w:p>
          <w:p>
            <w:pPr>
              <w:numPr>
                <w:ilvl w:val="0"/>
                <w:numId w:val="3"/>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激光打印机       1台</w:t>
            </w:r>
            <w:r>
              <w:rPr>
                <w:rFonts w:hint="eastAsia" w:ascii="宋体" w:hAnsi="宋体" w:eastAsia="宋体" w:cs="宋体"/>
                <w:color w:val="000000" w:themeColor="text1"/>
                <w:sz w:val="21"/>
                <w:szCs w:val="21"/>
                <w:lang w:eastAsia="zh-CN"/>
                <w14:textFill>
                  <w14:solidFill>
                    <w14:schemeClr w14:val="tx1"/>
                  </w14:solidFill>
                </w14:textFill>
              </w:rPr>
              <w:t>：</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A4纸打印</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（6）控制继电器       若干 </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（7）控制回路         1套</w:t>
            </w:r>
          </w:p>
          <w:p>
            <w:pPr>
              <w:spacing w:line="240" w:lineRule="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（8）集控系统软件     1套</w:t>
            </w:r>
            <w:r>
              <w:rPr>
                <w:rFonts w:hint="eastAsia" w:ascii="宋体" w:hAnsi="宋体" w:eastAsia="宋体" w:cs="宋体"/>
                <w:color w:val="000000" w:themeColor="text1"/>
                <w:sz w:val="21"/>
                <w:szCs w:val="21"/>
                <w:lang w:eastAsia="zh-CN"/>
                <w14:textFill>
                  <w14:solidFill>
                    <w14:schemeClr w14:val="tx1"/>
                  </w14:solidFill>
                </w14:textFill>
              </w:rPr>
              <w:t>：</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数据存储，并实现远方的操作和监视等功能：</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（9）PLC控制器        1个</w:t>
            </w:r>
          </w:p>
          <w:p>
            <w:pPr>
              <w:spacing w:line="240" w:lineRule="auto"/>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（10）电缆及其他配件    1批</w:t>
            </w:r>
          </w:p>
        </w:tc>
        <w:tc>
          <w:tcPr>
            <w:tcW w:w="7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1</w:t>
            </w:r>
          </w:p>
        </w:tc>
        <w:tc>
          <w:tcPr>
            <w:tcW w:w="85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台</w:t>
            </w:r>
          </w:p>
        </w:tc>
        <w:tc>
          <w:tcPr>
            <w:tcW w:w="1421"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3</w:t>
            </w:r>
          </w:p>
        </w:tc>
        <w:tc>
          <w:tcPr>
            <w:tcW w:w="12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电力系统综合自动化实验台</w:t>
            </w:r>
          </w:p>
        </w:tc>
        <w:tc>
          <w:tcPr>
            <w:tcW w:w="3562" w:type="dxa"/>
          </w:tcPr>
          <w:p>
            <w:pPr>
              <w:numPr>
                <w:ilvl w:val="0"/>
                <w:numId w:val="4"/>
              </w:numPr>
              <w:spacing w:line="240" w:lineRule="auto"/>
              <w:rPr>
                <w:rFonts w:hint="eastAsia" w:ascii="宋体" w:hAnsi="宋体" w:eastAsia="宋体" w:cs="宋体"/>
                <w:b/>
                <w:bCs/>
                <w:color w:val="000000" w:themeColor="text1"/>
                <w:sz w:val="21"/>
                <w:szCs w:val="21"/>
                <w:vertAlign w:val="baseline"/>
                <w:lang w:eastAsia="zh-CN"/>
                <w14:textFill>
                  <w14:solidFill>
                    <w14:schemeClr w14:val="tx1"/>
                  </w14:solidFill>
                </w14:textFill>
              </w:rPr>
            </w:pPr>
            <w:r>
              <w:rPr>
                <w:rFonts w:hint="eastAsia" w:ascii="宋体" w:hAnsi="宋体" w:eastAsia="宋体" w:cs="宋体"/>
                <w:b/>
                <w:bCs/>
                <w:color w:val="000000" w:themeColor="text1"/>
                <w:sz w:val="21"/>
                <w:szCs w:val="21"/>
                <w:vertAlign w:val="baseline"/>
                <w:lang w:eastAsia="zh-CN"/>
                <w14:textFill>
                  <w14:solidFill>
                    <w14:schemeClr w14:val="tx1"/>
                  </w14:solidFill>
                </w14:textFill>
              </w:rPr>
              <w:t>整体要求：</w:t>
            </w:r>
          </w:p>
          <w:p>
            <w:pPr>
              <w:widowControl/>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★实验系统安全可靠、操作方便灵活，既是学生的实验平台又可作为老师的科研平台。（文字表述）</w:t>
            </w:r>
          </w:p>
          <w:p>
            <w:pPr>
              <w:widowControl/>
              <w:spacing w:line="240" w:lineRule="auto"/>
              <w:ind w:firstLine="105" w:firstLine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★实验系统结构紧凑，一体化设计，无外挂件，方便管理和学生操作。</w:t>
            </w:r>
          </w:p>
          <w:p>
            <w:pPr>
              <w:widowControl/>
              <w:spacing w:line="240" w:lineRule="auto"/>
              <w:ind w:firstLine="105" w:firstLineChars="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提供产品图纸、有技术指标的产品彩页、使用说明书、实验指导书外，还须提供配套使用正规出版的国家级规划教材。</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★综合试验台具有各种微机自动装置和对应的各种手动控制装置，便于学生进行比较实验。</w:t>
            </w:r>
          </w:p>
          <w:p>
            <w:pPr>
              <w:widowControl/>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★核心控制、保护部分具有自主知识产权，方便升级和售后维护（提供加盖原厂商公章的复印件）。</w:t>
            </w:r>
          </w:p>
          <w:p>
            <w:pPr>
              <w:widowControl/>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★提供本产品经省部级电力测试部门出具的性能检测报告。</w:t>
            </w:r>
          </w:p>
          <w:p>
            <w:pPr>
              <w:numPr>
                <w:ilvl w:val="0"/>
                <w:numId w:val="0"/>
              </w:numPr>
              <w:spacing w:line="240" w:lineRule="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2.技术参数：</w:t>
            </w:r>
          </w:p>
          <w:p>
            <w:pPr>
              <w:spacing w:line="24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（1）三相同步发电机(SN=2.5KVA，VN=400，nn=1500r.p.m)</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（2）直流电动机(PN=2.2KW，VN=220V)</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（3）具有中间开关站的双回路输电线路(xL1=xL2=20Ω，xL3=xL4=40Ω)模型</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（4）15KVA三相自耦调压器模拟无穷大系统</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（5）4KVA整流变压器，调速、励磁等部件采用插件式结构，便于维护。</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（6）微机调速装置（采用插件式结构）</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测量发电机转速精度优于0.2%；测量系统功角精度优于1度；手动模拟调节；微机自动调节；微机手动调节</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★（7）微机励磁调节器（采用插件式结构）</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手动、它励、自并励方式；恒电压、恒电流、恒无功、恒a四种控制方式；三种励磁限制功能；电力系统稳定器(PSS)功能；通讯功能；装置有多种波形的观测孔，可实时观测各种波形。</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（8）发电机电压调整范围</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20%~120%（单机），20%~ 130%（单机试验），85%~120%（并网）；发电机电压调节精度：0.5%UN；起励超调小于10%UN，甩负荷超调小于15%UN；调差率±15%可调，档距小于0.1%；测控频率10Hz，即每工频周波测量和控制输出各两次</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★（9）微机准同期控制器（采用插件式结构）</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测量系统频率，机端电压，系统电压精度优于0.5%；</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全自动准同期合闸；</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半自动准同期合闸；</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断路器合闸时间测定；</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多种参数的修改；</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通讯功能；</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装置有多种波形的观测孔，可实时观测各种波形。</w:t>
            </w:r>
          </w:p>
          <w:p>
            <w:pPr>
              <w:spacing w:line="240" w:lineRule="auto"/>
              <w:ind w:left="42"/>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（10）YHB-III型微机保护装置（采用插件式结构）</w:t>
            </w:r>
          </w:p>
          <w:p>
            <w:pPr>
              <w:spacing w:line="240" w:lineRule="auto"/>
              <w:ind w:left="42"/>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过流保护；装置有故障波形的观测孔，可实时进行故障电流波形观测；微机自动重合闸功能；电流测量值优于1%</w:t>
            </w:r>
          </w:p>
          <w:p>
            <w:pPr>
              <w:numPr>
                <w:ilvl w:val="0"/>
                <w:numId w:val="0"/>
              </w:numPr>
              <w:spacing w:line="240" w:lineRule="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（11）可以实现与微机联接通讯。  </w:t>
            </w:r>
          </w:p>
          <w:p>
            <w:pPr>
              <w:numPr>
                <w:ilvl w:val="0"/>
                <w:numId w:val="0"/>
              </w:numPr>
              <w:spacing w:line="240" w:lineRule="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3.能完成的实验：</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发电机启动和调整实验；（2）运行方式实验；（3）负荷调整实验；（4）手动准同期并列实验；（5）半自动准同期并列实验；（6）全自动准同期并列实验；（7）偏离准同期并列条件合闸实验；（8）整定不同恒定越前时间合闸实验；（9）各种信号波形观测；（10）不同a（控制角）的励磁电压波形观测实验；（11）同步发电机起励实验；（12）控制方式及其相互切换实验；（13）逆变灭磁和跳灭磁开关灭磁实验；（14）伏赫限制实验；（15）同步发电机强励实验；（16）欠励限制实验；（17）调差特性实验；（18）过励限制实验；（19）单回路稳态对称运行实验；（20）双回路与单回路的稳态对称运行比较试验；（21）单回路稳态非全相运行试验；（22）单回路不对称稳态短路运行状态下实验；（23）励磁调节器对静态稳定性影响实验；（24）无调节励磁时，功率特性和功率极限的测定；（25）手动调节励磁时，功率特性和功率极限测定；（26）微机自并励时，功率特性和功率极限的测定；（27）微机它励时，功率特性和功率极限的测定；（28）单回路、双回路输送功率与功角关系实验；（29）短路类型对电力系统暂态稳定性的影响实验；（30）故障切除时间对暂态稳定的影响实验；（31）有无强励磁对暂态稳定性影响试验；（32）线路重合闸及其对系统暂态稳定性影响的实验；（33）同步发电机异步运行和再同步实验；（34）单机带负荷实验；（配负荷箱）（35）单机带负荷与单机无穷大系统时频率特性实验。</w:t>
            </w:r>
          </w:p>
          <w:p>
            <w:pPr>
              <w:spacing w:line="240" w:lineRule="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4.配置：</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电机组</w:t>
            </w:r>
            <w:r>
              <w:rPr>
                <w:rFonts w:hint="eastAsia" w:ascii="宋体" w:hAnsi="宋体" w:eastAsia="宋体" w:cs="宋体"/>
                <w:color w:val="000000" w:themeColor="text1"/>
                <w:sz w:val="21"/>
                <w:szCs w:val="21"/>
                <w:lang w:val="en-US" w:eastAsia="zh-CN"/>
                <w14:textFill>
                  <w14:solidFill>
                    <w14:schemeClr w14:val="tx1"/>
                  </w14:solidFill>
                </w14:textFill>
              </w:rPr>
              <w:t xml:space="preserve">  1套</w:t>
            </w:r>
            <w:r>
              <w:rPr>
                <w:rFonts w:hint="eastAsia" w:ascii="宋体" w:hAnsi="宋体" w:eastAsia="宋体" w:cs="宋体"/>
                <w:color w:val="000000" w:themeColor="text1"/>
                <w:sz w:val="21"/>
                <w:szCs w:val="21"/>
                <w14:textFill>
                  <w14:solidFill>
                    <w14:schemeClr w14:val="tx1"/>
                  </w14:solidFill>
                </w14:textFill>
              </w:rPr>
              <w:t>：</w:t>
            </w:r>
          </w:p>
          <w:p>
            <w:pPr>
              <w:spacing w:line="240"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三相同步发电机 容量：S</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=2.5KVA,电压：V</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=400V，转速：n</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=1500r.p.m, 功率因素</w:t>
            </w:r>
            <w:r>
              <w:rPr>
                <w:rFonts w:hint="eastAsia" w:ascii="宋体" w:hAnsi="宋体" w:eastAsia="宋体" w:cs="宋体"/>
                <w:bCs/>
                <w:color w:val="000000" w:themeColor="text1"/>
                <w:sz w:val="21"/>
                <w:szCs w:val="21"/>
                <w14:textFill>
                  <w14:solidFill>
                    <w14:schemeClr w14:val="tx1"/>
                  </w14:solidFill>
                </w14:textFill>
              </w:rPr>
              <w:t>COSφ=0.8；</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直流电动机组功率：P</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=2.2KW，电压：U</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=220V，转速：n</w:t>
            </w:r>
            <w:r>
              <w:rPr>
                <w:rFonts w:hint="eastAsia" w:ascii="宋体" w:hAnsi="宋体" w:eastAsia="宋体" w:cs="宋体"/>
                <w:color w:val="000000" w:themeColor="text1"/>
                <w:sz w:val="21"/>
                <w:szCs w:val="21"/>
                <w:vertAlign w:val="subscript"/>
                <w14:textFill>
                  <w14:solidFill>
                    <w14:schemeClr w14:val="tx1"/>
                  </w14:solidFill>
                </w14:textFill>
              </w:rPr>
              <w:t>N</w:t>
            </w:r>
            <w:r>
              <w:rPr>
                <w:rFonts w:hint="eastAsia" w:ascii="宋体" w:hAnsi="宋体" w:eastAsia="宋体" w:cs="宋体"/>
                <w:color w:val="000000" w:themeColor="text1"/>
                <w:sz w:val="21"/>
                <w:szCs w:val="21"/>
                <w14:textFill>
                  <w14:solidFill>
                    <w14:schemeClr w14:val="tx1"/>
                  </w14:solidFill>
                </w14:textFill>
              </w:rPr>
              <w:t>=1500r/min</w:t>
            </w:r>
          </w:p>
          <w:p>
            <w:pPr>
              <w:spacing w:line="240" w:lineRule="auto"/>
              <w:jc w:val="both"/>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 xml:space="preserve">试验台柜体 </w:t>
            </w:r>
            <w:r>
              <w:rPr>
                <w:rFonts w:hint="eastAsia" w:ascii="宋体" w:hAnsi="宋体" w:eastAsia="宋体" w:cs="宋体"/>
                <w:color w:val="000000" w:themeColor="text1"/>
                <w:sz w:val="21"/>
                <w:szCs w:val="21"/>
                <w:lang w:val="en-US" w:eastAsia="zh-CN"/>
                <w14:textFill>
                  <w14:solidFill>
                    <w14:schemeClr w14:val="tx1"/>
                  </w14:solidFill>
                </w14:textFill>
              </w:rPr>
              <w:t xml:space="preserve"> 1台：</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采用高质量钢材喷塑材料,台面上铺设防静电的绝缘橡皮(带设备保护系统、人身保护系统、散热系统)尺寸：1.80m×0.83m×1.80m</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模拟线路电抗器</w:t>
            </w:r>
            <w:r>
              <w:rPr>
                <w:rFonts w:hint="eastAsia" w:ascii="宋体" w:hAnsi="宋体" w:eastAsia="宋体" w:cs="宋体"/>
                <w:color w:val="000000" w:themeColor="text1"/>
                <w:sz w:val="21"/>
                <w:szCs w:val="21"/>
                <w:lang w:val="en-US" w:eastAsia="zh-CN"/>
                <w14:textFill>
                  <w14:solidFill>
                    <w14:schemeClr w14:val="tx1"/>
                  </w14:solidFill>
                </w14:textFill>
              </w:rPr>
              <w:t xml:space="preserve">  1套</w:t>
            </w:r>
            <w:r>
              <w:rPr>
                <w:rFonts w:hint="eastAsia" w:ascii="宋体" w:hAnsi="宋体" w:eastAsia="宋体" w:cs="宋体"/>
                <w:color w:val="000000" w:themeColor="text1"/>
                <w:sz w:val="21"/>
                <w:szCs w:val="21"/>
                <w14:textFill>
                  <w14:solidFill>
                    <w14:schemeClr w14:val="tx1"/>
                  </w14:solidFill>
                </w14:textFill>
              </w:rPr>
              <w:t>：</w:t>
            </w:r>
          </w:p>
          <w:p>
            <w:p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 xml:space="preserve"> 20</w:t>
            </w:r>
            <w:r>
              <w:rPr>
                <w:rFonts w:hint="eastAsia" w:ascii="宋体" w:hAnsi="宋体" w:eastAsia="宋体" w:cs="宋体"/>
                <w:color w:val="000000" w:themeColor="text1"/>
                <w:sz w:val="21"/>
                <w:szCs w:val="21"/>
                <w14:textFill>
                  <w14:solidFill>
                    <w14:schemeClr w14:val="tx1"/>
                  </w14:solidFill>
                </w14:textFill>
              </w:rPr>
              <w:sym w:font="Symbol" w:char="F057"/>
            </w:r>
            <w:r>
              <w:rPr>
                <w:rFonts w:hint="eastAsia" w:ascii="宋体" w:hAnsi="宋体" w:eastAsia="宋体" w:cs="宋体"/>
                <w:color w:val="000000" w:themeColor="text1"/>
                <w:sz w:val="21"/>
                <w:szCs w:val="21"/>
                <w14:textFill>
                  <w14:solidFill>
                    <w14:schemeClr w14:val="tx1"/>
                  </w14:solidFill>
                </w14:textFill>
              </w:rPr>
              <w:t xml:space="preserve"> 10A可调分接头电抗器；</w:t>
            </w: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 xml:space="preserve"> 40</w:t>
            </w:r>
            <w:r>
              <w:rPr>
                <w:rFonts w:hint="eastAsia" w:ascii="宋体" w:hAnsi="宋体" w:eastAsia="宋体" w:cs="宋体"/>
                <w:color w:val="000000" w:themeColor="text1"/>
                <w:sz w:val="21"/>
                <w:szCs w:val="21"/>
                <w14:textFill>
                  <w14:solidFill>
                    <w14:schemeClr w14:val="tx1"/>
                  </w14:solidFill>
                </w14:textFill>
              </w:rPr>
              <w:sym w:font="Symbol" w:char="F057"/>
            </w:r>
            <w:r>
              <w:rPr>
                <w:rFonts w:hint="eastAsia" w:ascii="宋体" w:hAnsi="宋体" w:eastAsia="宋体" w:cs="宋体"/>
                <w:color w:val="000000" w:themeColor="text1"/>
                <w:sz w:val="21"/>
                <w:szCs w:val="21"/>
                <w14:textFill>
                  <w14:solidFill>
                    <w14:schemeClr w14:val="tx1"/>
                  </w14:solidFill>
                </w14:textFill>
              </w:rPr>
              <w:t xml:space="preserve"> 10A可调分接头电抗器；以上电抗器在短路时不饱和</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输电线路模型</w:t>
            </w:r>
            <w:r>
              <w:rPr>
                <w:rFonts w:hint="eastAsia" w:ascii="宋体" w:hAnsi="宋体" w:eastAsia="宋体" w:cs="宋体"/>
                <w:color w:val="000000" w:themeColor="text1"/>
                <w:sz w:val="21"/>
                <w:szCs w:val="21"/>
                <w:lang w:val="en-US" w:eastAsia="zh-CN"/>
                <w14:textFill>
                  <w14:solidFill>
                    <w14:schemeClr w14:val="tx1"/>
                  </w14:solidFill>
                </w14:textFill>
              </w:rPr>
              <w:t xml:space="preserve">  4条</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整流变压器 </w:t>
            </w:r>
            <w:r>
              <w:rPr>
                <w:rFonts w:hint="eastAsia" w:ascii="宋体" w:hAnsi="宋体" w:eastAsia="宋体" w:cs="宋体"/>
                <w:color w:val="000000" w:themeColor="text1"/>
                <w:sz w:val="21"/>
                <w:szCs w:val="21"/>
                <w14:textFill>
                  <w14:solidFill>
                    <w14:schemeClr w14:val="tx1"/>
                  </w14:solidFill>
                </w14:textFill>
              </w:rPr>
              <w:sym w:font="Symbol" w:char="F044"/>
            </w:r>
            <w:r>
              <w:rPr>
                <w:rFonts w:hint="eastAsia" w:ascii="宋体" w:hAnsi="宋体" w:eastAsia="宋体" w:cs="宋体"/>
                <w:color w:val="000000" w:themeColor="text1"/>
                <w:sz w:val="21"/>
                <w:szCs w:val="21"/>
                <w14:textFill>
                  <w14:solidFill>
                    <w14:schemeClr w14:val="tx1"/>
                  </w14:solidFill>
                </w14:textFill>
              </w:rPr>
              <w:t>/Y，380/170，180，190V，4KVA</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1台</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励磁变压器 </w:t>
            </w:r>
            <w:r>
              <w:rPr>
                <w:rFonts w:hint="eastAsia" w:ascii="宋体" w:hAnsi="宋体" w:eastAsia="宋体" w:cs="宋体"/>
                <w:color w:val="000000" w:themeColor="text1"/>
                <w:sz w:val="21"/>
                <w:szCs w:val="21"/>
                <w14:textFill>
                  <w14:solidFill>
                    <w14:schemeClr w14:val="tx1"/>
                  </w14:solidFill>
                </w14:textFill>
              </w:rPr>
              <w:sym w:font="Symbol" w:char="F044"/>
            </w:r>
            <w:r>
              <w:rPr>
                <w:rFonts w:hint="eastAsia" w:ascii="宋体" w:hAnsi="宋体" w:eastAsia="宋体" w:cs="宋体"/>
                <w:color w:val="000000" w:themeColor="text1"/>
                <w:sz w:val="21"/>
                <w:szCs w:val="21"/>
                <w14:textFill>
                  <w14:solidFill>
                    <w14:schemeClr w14:val="tx1"/>
                  </w14:solidFill>
                </w14:textFill>
              </w:rPr>
              <w:t>/Y，380/60，70，80V，500VA</w:t>
            </w:r>
            <w:r>
              <w:rPr>
                <w:rFonts w:hint="eastAsia" w:ascii="宋体" w:hAnsi="宋体" w:eastAsia="宋体" w:cs="宋体"/>
                <w:color w:val="000000" w:themeColor="text1"/>
                <w:sz w:val="21"/>
                <w:szCs w:val="21"/>
                <w:lang w:val="en-US" w:eastAsia="zh-CN"/>
                <w14:textFill>
                  <w14:solidFill>
                    <w14:schemeClr w14:val="tx1"/>
                  </w14:solidFill>
                </w14:textFill>
              </w:rPr>
              <w:t xml:space="preserve">   1台</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控制开关 </w:t>
            </w:r>
            <w:r>
              <w:rPr>
                <w:rFonts w:hint="eastAsia" w:ascii="宋体" w:hAnsi="宋体" w:eastAsia="宋体" w:cs="宋体"/>
                <w:color w:val="000000" w:themeColor="text1"/>
                <w:sz w:val="21"/>
                <w:szCs w:val="21"/>
                <w:lang w:val="en-US" w:eastAsia="zh-CN"/>
                <w14:textFill>
                  <w14:solidFill>
                    <w14:schemeClr w14:val="tx1"/>
                  </w14:solidFill>
                </w14:textFill>
              </w:rPr>
              <w:t>5只：</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多档切换操作</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空开四极</w:t>
            </w:r>
            <w:r>
              <w:rPr>
                <w:rFonts w:hint="eastAsia" w:ascii="宋体" w:hAnsi="宋体" w:eastAsia="宋体" w:cs="宋体"/>
                <w:color w:val="000000" w:themeColor="text1"/>
                <w:sz w:val="21"/>
                <w:szCs w:val="21"/>
                <w:lang w:val="en-US" w:eastAsia="zh-CN"/>
                <w14:textFill>
                  <w14:solidFill>
                    <w14:schemeClr w14:val="tx1"/>
                  </w14:solidFill>
                </w14:textFill>
              </w:rPr>
              <w:t xml:space="preserve"> 1只</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系统控制回路</w:t>
            </w:r>
            <w:r>
              <w:rPr>
                <w:rFonts w:hint="eastAsia" w:ascii="宋体" w:hAnsi="宋体" w:eastAsia="宋体" w:cs="宋体"/>
                <w:color w:val="000000" w:themeColor="text1"/>
                <w:sz w:val="21"/>
                <w:szCs w:val="21"/>
                <w:lang w:val="en-US" w:eastAsia="zh-CN"/>
                <w14:textFill>
                  <w14:solidFill>
                    <w14:schemeClr w14:val="tx1"/>
                  </w14:solidFill>
                </w14:textFill>
              </w:rPr>
              <w:t xml:space="preserve">  1套</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操作按钮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带指标灯</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 xml:space="preserve"> 25只</w:t>
            </w:r>
          </w:p>
          <w:p>
            <w:pPr>
              <w:numPr>
                <w:ilvl w:val="0"/>
                <w:numId w:val="5"/>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电源AC 380V </w:t>
            </w:r>
            <w:r>
              <w:rPr>
                <w:rFonts w:hint="eastAsia" w:ascii="宋体" w:hAnsi="宋体" w:eastAsia="宋体" w:cs="宋体"/>
                <w:color w:val="000000" w:themeColor="text1"/>
                <w:sz w:val="21"/>
                <w:szCs w:val="21"/>
                <w:lang w:val="en-US" w:eastAsia="zh-CN"/>
                <w14:textFill>
                  <w14:solidFill>
                    <w14:schemeClr w14:val="tx1"/>
                  </w14:solidFill>
                </w14:textFill>
              </w:rPr>
              <w:t xml:space="preserve">  2只</w:t>
            </w:r>
          </w:p>
          <w:p>
            <w:pPr>
              <w:numPr>
                <w:ilvl w:val="0"/>
                <w:numId w:val="5"/>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电压互感器JOG4-0.5 380V/100V</w:t>
            </w:r>
            <w:r>
              <w:rPr>
                <w:rFonts w:hint="eastAsia" w:ascii="宋体" w:hAnsi="宋体" w:eastAsia="宋体" w:cs="宋体"/>
                <w:color w:val="000000" w:themeColor="text1"/>
                <w:sz w:val="21"/>
                <w:szCs w:val="21"/>
                <w:lang w:val="en-US" w:eastAsia="zh-CN"/>
                <w14:textFill>
                  <w14:solidFill>
                    <w14:schemeClr w14:val="tx1"/>
                  </w14:solidFill>
                </w14:textFill>
              </w:rPr>
              <w:t xml:space="preserve"> （13）</w:t>
            </w:r>
            <w:r>
              <w:rPr>
                <w:rFonts w:hint="eastAsia" w:ascii="宋体" w:hAnsi="宋体" w:eastAsia="宋体" w:cs="宋体"/>
                <w:color w:val="000000" w:themeColor="text1"/>
                <w:sz w:val="21"/>
                <w:szCs w:val="21"/>
                <w14:textFill>
                  <w14:solidFill>
                    <w14:schemeClr w14:val="tx1"/>
                  </w14:solidFill>
                </w14:textFill>
              </w:rPr>
              <w:t>电流互感器40I 15A/5A</w:t>
            </w:r>
            <w:r>
              <w:rPr>
                <w:rFonts w:hint="eastAsia" w:ascii="宋体" w:hAnsi="宋体" w:eastAsia="宋体" w:cs="宋体"/>
                <w:color w:val="000000" w:themeColor="text1"/>
                <w:sz w:val="21"/>
                <w:szCs w:val="21"/>
                <w:lang w:val="en-US" w:eastAsia="zh-CN"/>
                <w14:textFill>
                  <w14:solidFill>
                    <w14:schemeClr w14:val="tx1"/>
                  </w14:solidFill>
                </w14:textFill>
              </w:rPr>
              <w:t xml:space="preserve">   7只</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14</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各种电力仪表</w:t>
            </w:r>
            <w:r>
              <w:rPr>
                <w:rFonts w:hint="eastAsia" w:ascii="宋体" w:hAnsi="宋体" w:eastAsia="宋体" w:cs="宋体"/>
                <w:color w:val="000000" w:themeColor="text1"/>
                <w:sz w:val="21"/>
                <w:szCs w:val="21"/>
                <w:lang w:val="en-US" w:eastAsia="zh-CN"/>
                <w14:textFill>
                  <w14:solidFill>
                    <w14:schemeClr w14:val="tx1"/>
                  </w14:solidFill>
                </w14:textFill>
              </w:rPr>
              <w:t xml:space="preserve">  13只</w:t>
            </w:r>
            <w:r>
              <w:rPr>
                <w:rFonts w:hint="eastAsia" w:ascii="宋体" w:hAnsi="宋体" w:eastAsia="宋体" w:cs="宋体"/>
                <w:color w:val="000000" w:themeColor="text1"/>
                <w:sz w:val="21"/>
                <w:szCs w:val="21"/>
                <w:lang w:eastAsia="zh-CN"/>
                <w14:textFill>
                  <w14:solidFill>
                    <w14:schemeClr w14:val="tx1"/>
                  </w14:solidFill>
                </w14:textFill>
              </w:rPr>
              <w:t>：</w:t>
            </w:r>
          </w:p>
          <w:p>
            <w:pPr>
              <w:numPr>
                <w:ilvl w:val="0"/>
                <w:numId w:val="6"/>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电流表：</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0-15A，1.5极（原动机</w:t>
            </w:r>
            <w:r>
              <w:rPr>
                <w:rFonts w:hint="eastAsia" w:ascii="宋体" w:hAnsi="宋体" w:eastAsia="宋体" w:cs="宋体"/>
                <w:color w:val="000000" w:themeColor="text1"/>
                <w:sz w:val="21"/>
                <w:szCs w:val="21"/>
                <w:lang w:val="en-US" w:eastAsia="zh-CN"/>
                <w14:textFill>
                  <w14:solidFill>
                    <w14:schemeClr w14:val="tx1"/>
                  </w14:solidFill>
                </w14:textFill>
              </w:rPr>
              <w:t>)</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0-10A，1.5极（励磁）</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w:t>
            </w:r>
            <w:r>
              <w:rPr>
                <w:rFonts w:hint="eastAsia" w:ascii="宋体" w:hAnsi="宋体" w:eastAsia="宋体" w:cs="宋体"/>
                <w:color w:val="000000" w:themeColor="text1"/>
                <w:sz w:val="21"/>
                <w:szCs w:val="21"/>
                <w14:textFill>
                  <w14:solidFill>
                    <w14:schemeClr w14:val="tx1"/>
                  </w14:solidFill>
                </w14:textFill>
              </w:rPr>
              <w:t>电压表：</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0-250V 1.5级（原动机）</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0-450V，1.5极（发电机）</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0-80V，1.5极（励 磁）</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0-450，1.5极（开关站）</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0-450V，1.5极（系统）；</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同期表：</w:t>
            </w:r>
          </w:p>
          <w:p>
            <w:pPr>
              <w:numPr>
                <w:ilvl w:val="0"/>
                <w:numId w:val="0"/>
              </w:numPr>
              <w:spacing w:line="240" w:lineRule="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±3HZ，±10V，2.5极</w:t>
            </w:r>
            <w:r>
              <w:rPr>
                <w:rFonts w:hint="eastAsia" w:ascii="宋体" w:hAnsi="宋体" w:eastAsia="宋体" w:cs="宋体"/>
                <w:color w:val="000000" w:themeColor="text1"/>
                <w:sz w:val="21"/>
                <w:szCs w:val="21"/>
                <w:lang w:eastAsia="zh-CN"/>
                <w14:textFill>
                  <w14:solidFill>
                    <w14:schemeClr w14:val="tx1"/>
                  </w14:solidFill>
                </w14:textFill>
              </w:rPr>
              <w:t>；</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发电机频率：40-55HZ，100V，1.0极；</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A、B、C三相电流：0-7.5A，7.5/5A，1.5极；</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有功功率:0-5KW，7.5/5A，380V/100V，2.5极；</w:t>
            </w:r>
          </w:p>
          <w:p>
            <w:pPr>
              <w:numPr>
                <w:ilvl w:val="0"/>
                <w:numId w:val="0"/>
              </w:numPr>
              <w:spacing w:line="24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无功功率：0-4KW，7.5/5A，380V/100V，2.5极</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15</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各种控制继电器、保险端子 MK2P-I AC220</w:t>
            </w:r>
            <w:r>
              <w:rPr>
                <w:rFonts w:hint="eastAsia" w:ascii="宋体" w:hAnsi="宋体" w:eastAsia="宋体" w:cs="宋体"/>
                <w:color w:val="000000" w:themeColor="text1"/>
                <w:sz w:val="21"/>
                <w:szCs w:val="21"/>
                <w:lang w:val="en-US" w:eastAsia="zh-CN"/>
                <w14:textFill>
                  <w14:solidFill>
                    <w14:schemeClr w14:val="tx1"/>
                  </w14:solidFill>
                </w14:textFill>
              </w:rPr>
              <w:t xml:space="preserve">   25只</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16</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接触器</w:t>
            </w:r>
            <w:r>
              <w:rPr>
                <w:rFonts w:hint="eastAsia" w:ascii="宋体" w:hAnsi="宋体" w:eastAsia="宋体" w:cs="宋体"/>
                <w:color w:val="000000" w:themeColor="text1"/>
                <w:sz w:val="21"/>
                <w:szCs w:val="21"/>
                <w:lang w:val="en-US" w:eastAsia="zh-CN"/>
                <w14:textFill>
                  <w14:solidFill>
                    <w14:schemeClr w14:val="tx1"/>
                  </w14:solidFill>
                </w14:textFill>
              </w:rPr>
              <w:t xml:space="preserve">    23只</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17</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微机/手动励磁装置</w:t>
            </w:r>
            <w:r>
              <w:rPr>
                <w:rFonts w:hint="eastAsia" w:ascii="宋体" w:hAnsi="宋体" w:eastAsia="宋体" w:cs="宋体"/>
                <w:b/>
                <w:bCs/>
                <w:color w:val="000000" w:themeColor="text1"/>
                <w:sz w:val="21"/>
                <w:szCs w:val="21"/>
                <w14:textFill>
                  <w14:solidFill>
                    <w14:schemeClr w14:val="tx1"/>
                  </w14:solidFill>
                </w14:textFill>
              </w:rPr>
              <w:t>（带PSS功能/工业级）</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1台</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18</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微机/手动调速装置（自主研制）</w:t>
            </w:r>
            <w:r>
              <w:rPr>
                <w:rFonts w:hint="eastAsia" w:ascii="宋体" w:hAnsi="宋体" w:eastAsia="宋体" w:cs="宋体"/>
                <w:color w:val="000000" w:themeColor="text1"/>
                <w:sz w:val="21"/>
                <w:szCs w:val="21"/>
                <w:lang w:val="en-US" w:eastAsia="zh-CN"/>
                <w14:textFill>
                  <w14:solidFill>
                    <w14:schemeClr w14:val="tx1"/>
                  </w14:solidFill>
                </w14:textFill>
              </w:rPr>
              <w:t xml:space="preserve">  1台</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（19）</w:t>
            </w:r>
            <w:r>
              <w:rPr>
                <w:rFonts w:hint="eastAsia" w:ascii="宋体" w:hAnsi="宋体" w:eastAsia="宋体" w:cs="宋体"/>
                <w:color w:val="000000" w:themeColor="text1"/>
                <w:sz w:val="21"/>
                <w:szCs w:val="21"/>
                <w14:textFill>
                  <w14:solidFill>
                    <w14:schemeClr w14:val="tx1"/>
                  </w14:solidFill>
                </w14:textFill>
              </w:rPr>
              <w:t>微机/手动准同期装置（自主研制）</w:t>
            </w:r>
            <w:r>
              <w:rPr>
                <w:rFonts w:hint="eastAsia" w:ascii="宋体" w:hAnsi="宋体" w:eastAsia="宋体" w:cs="宋体"/>
                <w:color w:val="000000" w:themeColor="text1"/>
                <w:sz w:val="21"/>
                <w:szCs w:val="21"/>
                <w:lang w:val="en-US" w:eastAsia="zh-CN"/>
                <w14:textFill>
                  <w14:solidFill>
                    <w14:schemeClr w14:val="tx1"/>
                  </w14:solidFill>
                </w14:textFill>
              </w:rPr>
              <w:t xml:space="preserve">  1套</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14:textFill>
                  <w14:solidFill>
                    <w14:schemeClr w14:val="tx1"/>
                  </w14:solidFill>
                </w14:textFill>
              </w:rPr>
              <w:t>微机保护装置（带自动重合闸）自主研制</w:t>
            </w:r>
            <w:r>
              <w:rPr>
                <w:rFonts w:hint="eastAsia" w:ascii="宋体" w:hAnsi="宋体" w:eastAsia="宋体" w:cs="宋体"/>
                <w:color w:val="000000" w:themeColor="text1"/>
                <w:sz w:val="21"/>
                <w:szCs w:val="21"/>
                <w:lang w:val="en-US" w:eastAsia="zh-CN"/>
                <w14:textFill>
                  <w14:solidFill>
                    <w14:schemeClr w14:val="tx1"/>
                  </w14:solidFill>
                </w14:textFill>
              </w:rPr>
              <w:t xml:space="preserve">  1台</w:t>
            </w:r>
          </w:p>
          <w:p>
            <w:pPr>
              <w:numPr>
                <w:ilvl w:val="0"/>
                <w:numId w:val="0"/>
              </w:numPr>
              <w:spacing w:line="24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sz w:val="21"/>
                <w:szCs w:val="21"/>
                <w14:textFill>
                  <w14:solidFill>
                    <w14:schemeClr w14:val="tx1"/>
                  </w14:solidFill>
                </w14:textFill>
              </w:rPr>
              <w:t>15KVA三相自耦调压器</w:t>
            </w:r>
            <w:r>
              <w:rPr>
                <w:rFonts w:hint="eastAsia" w:ascii="宋体" w:hAnsi="宋体" w:eastAsia="宋体" w:cs="宋体"/>
                <w:color w:val="000000" w:themeColor="text1"/>
                <w:sz w:val="21"/>
                <w:szCs w:val="21"/>
                <w:lang w:val="en-US" w:eastAsia="zh-CN"/>
                <w14:textFill>
                  <w14:solidFill>
                    <w14:schemeClr w14:val="tx1"/>
                  </w14:solidFill>
                </w14:textFill>
              </w:rPr>
              <w:t xml:space="preserve">   1套</w:t>
            </w:r>
          </w:p>
        </w:tc>
        <w:tc>
          <w:tcPr>
            <w:tcW w:w="73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val="en-US" w:eastAsia="zh-CN"/>
                <w14:textFill>
                  <w14:solidFill>
                    <w14:schemeClr w14:val="tx1"/>
                  </w14:solidFill>
                </w14:textFill>
              </w:rPr>
            </w:pPr>
            <w:r>
              <w:rPr>
                <w:rFonts w:hint="eastAsia" w:ascii="宋体" w:hAnsi="宋体" w:eastAsia="宋体" w:cs="宋体"/>
                <w:color w:val="000000" w:themeColor="text1"/>
                <w:sz w:val="24"/>
                <w:szCs w:val="24"/>
                <w:vertAlign w:val="baseline"/>
                <w:lang w:val="en-US" w:eastAsia="zh-CN"/>
                <w14:textFill>
                  <w14:solidFill>
                    <w14:schemeClr w14:val="tx1"/>
                  </w14:solidFill>
                </w14:textFill>
              </w:rPr>
              <w:t>3</w:t>
            </w:r>
          </w:p>
        </w:tc>
        <w:tc>
          <w:tcPr>
            <w:tcW w:w="858"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lang w:eastAsia="zh-CN"/>
                <w14:textFill>
                  <w14:solidFill>
                    <w14:schemeClr w14:val="tx1"/>
                  </w14:solidFill>
                </w14:textFill>
              </w:rPr>
            </w:pPr>
            <w:r>
              <w:rPr>
                <w:rFonts w:hint="eastAsia" w:ascii="宋体" w:hAnsi="宋体" w:eastAsia="宋体" w:cs="宋体"/>
                <w:color w:val="000000" w:themeColor="text1"/>
                <w:sz w:val="24"/>
                <w:szCs w:val="24"/>
                <w:vertAlign w:val="baseline"/>
                <w:lang w:eastAsia="zh-CN"/>
                <w14:textFill>
                  <w14:solidFill>
                    <w14:schemeClr w14:val="tx1"/>
                  </w14:solidFill>
                </w14:textFill>
              </w:rPr>
              <w:t>台</w:t>
            </w:r>
          </w:p>
        </w:tc>
        <w:tc>
          <w:tcPr>
            <w:tcW w:w="1421" w:type="dxa"/>
            <w:vAlign w:val="center"/>
          </w:tcPr>
          <w:p>
            <w:pPr>
              <w:numPr>
                <w:ilvl w:val="0"/>
                <w:numId w:val="0"/>
              </w:numPr>
              <w:spacing w:line="240" w:lineRule="auto"/>
              <w:jc w:val="center"/>
              <w:rPr>
                <w:rFonts w:hint="eastAsia" w:ascii="宋体" w:hAnsi="宋体" w:eastAsia="宋体" w:cs="宋体"/>
                <w:color w:val="000000" w:themeColor="text1"/>
                <w:sz w:val="24"/>
                <w:szCs w:val="24"/>
                <w:vertAlign w:val="baseline"/>
                <w14:textFill>
                  <w14:solidFill>
                    <w14:schemeClr w14:val="tx1"/>
                  </w14:solidFill>
                </w14:textFill>
              </w:rPr>
            </w:pPr>
          </w:p>
        </w:tc>
      </w:tr>
      <w:bookmarkEnd w:id="2"/>
    </w:tbl>
    <w:p>
      <w:pPr>
        <w:rPr>
          <w:rFonts w:hint="eastAsia" w:ascii="宋体" w:hAnsi="宋体" w:eastAsia="宋体" w:cs="宋体"/>
          <w:lang w:eastAsia="zh-CN"/>
        </w:rPr>
      </w:pPr>
    </w:p>
    <w:p>
      <w:pPr>
        <w:pStyle w:val="3"/>
        <w:numPr>
          <w:ilvl w:val="0"/>
          <w:numId w:val="1"/>
        </w:numPr>
        <w:spacing w:line="400" w:lineRule="exact"/>
        <w:ind w:firstLine="235" w:firstLineChars="98"/>
        <w:rPr>
          <w:rFonts w:hint="eastAsia" w:ascii="宋体" w:hAnsi="宋体" w:eastAsia="宋体" w:cs="宋体"/>
          <w:sz w:val="24"/>
          <w:szCs w:val="24"/>
          <w:lang w:eastAsia="zh-CN"/>
        </w:rPr>
      </w:pPr>
      <w:r>
        <w:rPr>
          <w:rFonts w:hint="eastAsia" w:ascii="宋体" w:hAnsi="宋体" w:eastAsia="宋体" w:cs="宋体"/>
          <w:sz w:val="24"/>
          <w:szCs w:val="24"/>
          <w:lang w:eastAsia="zh-CN"/>
        </w:rPr>
        <w:t>评分办法明细表</w:t>
      </w:r>
    </w:p>
    <w:tbl>
      <w:tblPr>
        <w:tblStyle w:val="5"/>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793"/>
        <w:gridCol w:w="709"/>
        <w:gridCol w:w="4819"/>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vAlign w:val="center"/>
          </w:tcPr>
          <w:p>
            <w:pPr>
              <w:spacing w:line="400" w:lineRule="exact"/>
              <w:ind w:firstLine="28"/>
              <w:jc w:val="center"/>
              <w:rPr>
                <w:rFonts w:hAnsi="宋体"/>
                <w:sz w:val="21"/>
                <w:szCs w:val="21"/>
              </w:rPr>
            </w:pPr>
            <w:r>
              <w:rPr>
                <w:rFonts w:hint="eastAsia" w:hAnsi="宋体"/>
                <w:sz w:val="21"/>
                <w:szCs w:val="21"/>
              </w:rPr>
              <w:t>序号</w:t>
            </w:r>
          </w:p>
        </w:tc>
        <w:tc>
          <w:tcPr>
            <w:tcW w:w="1793" w:type="dxa"/>
            <w:vAlign w:val="center"/>
          </w:tcPr>
          <w:p>
            <w:pPr>
              <w:spacing w:line="400" w:lineRule="exact"/>
              <w:ind w:firstLine="28"/>
              <w:jc w:val="center"/>
              <w:rPr>
                <w:rFonts w:hAnsi="宋体"/>
                <w:sz w:val="21"/>
                <w:szCs w:val="21"/>
              </w:rPr>
            </w:pPr>
            <w:r>
              <w:rPr>
                <w:rFonts w:hint="eastAsia" w:hAnsi="宋体"/>
                <w:sz w:val="21"/>
                <w:szCs w:val="21"/>
              </w:rPr>
              <w:t>评分因素及权重</w:t>
            </w:r>
          </w:p>
        </w:tc>
        <w:tc>
          <w:tcPr>
            <w:tcW w:w="709" w:type="dxa"/>
            <w:vAlign w:val="center"/>
          </w:tcPr>
          <w:p>
            <w:pPr>
              <w:spacing w:line="400" w:lineRule="exact"/>
              <w:ind w:firstLine="28"/>
              <w:jc w:val="center"/>
              <w:rPr>
                <w:rFonts w:hAnsi="宋体"/>
                <w:sz w:val="21"/>
                <w:szCs w:val="21"/>
              </w:rPr>
            </w:pPr>
            <w:r>
              <w:rPr>
                <w:rFonts w:hint="eastAsia" w:hAnsi="宋体"/>
                <w:sz w:val="21"/>
                <w:szCs w:val="21"/>
              </w:rPr>
              <w:t>分值</w:t>
            </w:r>
          </w:p>
        </w:tc>
        <w:tc>
          <w:tcPr>
            <w:tcW w:w="4819" w:type="dxa"/>
            <w:vAlign w:val="center"/>
          </w:tcPr>
          <w:p>
            <w:pPr>
              <w:spacing w:line="400" w:lineRule="exact"/>
              <w:ind w:firstLine="28"/>
              <w:jc w:val="center"/>
              <w:rPr>
                <w:rFonts w:hAnsi="宋体"/>
                <w:sz w:val="21"/>
                <w:szCs w:val="21"/>
              </w:rPr>
            </w:pPr>
            <w:r>
              <w:rPr>
                <w:rFonts w:hint="eastAsia" w:hAnsi="宋体"/>
                <w:sz w:val="21"/>
                <w:szCs w:val="21"/>
              </w:rPr>
              <w:t>评分标准</w:t>
            </w:r>
          </w:p>
        </w:tc>
        <w:tc>
          <w:tcPr>
            <w:tcW w:w="1633" w:type="dxa"/>
            <w:vAlign w:val="center"/>
          </w:tcPr>
          <w:p>
            <w:pPr>
              <w:spacing w:line="400" w:lineRule="exact"/>
              <w:jc w:val="center"/>
              <w:rPr>
                <w:rFonts w:hAnsi="宋体"/>
                <w:sz w:val="21"/>
                <w:szCs w:val="21"/>
              </w:rPr>
            </w:pPr>
            <w:r>
              <w:rPr>
                <w:rFonts w:hint="eastAsia" w:hAnsi="宋体"/>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vAlign w:val="center"/>
          </w:tcPr>
          <w:p>
            <w:pPr>
              <w:spacing w:line="400" w:lineRule="exact"/>
              <w:ind w:firstLine="28"/>
              <w:jc w:val="center"/>
              <w:rPr>
                <w:rFonts w:hAnsi="宋体"/>
                <w:sz w:val="21"/>
                <w:szCs w:val="21"/>
              </w:rPr>
            </w:pPr>
            <w:r>
              <w:rPr>
                <w:rFonts w:hint="eastAsia" w:hAnsi="宋体"/>
                <w:sz w:val="21"/>
                <w:szCs w:val="21"/>
              </w:rPr>
              <w:t>1</w:t>
            </w:r>
          </w:p>
        </w:tc>
        <w:tc>
          <w:tcPr>
            <w:tcW w:w="1793" w:type="dxa"/>
            <w:vAlign w:val="center"/>
          </w:tcPr>
          <w:p>
            <w:pPr>
              <w:spacing w:line="400" w:lineRule="exact"/>
              <w:ind w:firstLine="28"/>
              <w:jc w:val="center"/>
              <w:rPr>
                <w:rFonts w:hAnsi="宋体"/>
                <w:sz w:val="21"/>
                <w:szCs w:val="21"/>
              </w:rPr>
            </w:pPr>
            <w:r>
              <w:rPr>
                <w:rFonts w:hint="eastAsia" w:hAnsi="宋体"/>
                <w:sz w:val="21"/>
                <w:szCs w:val="21"/>
              </w:rPr>
              <w:t>报价 35%</w:t>
            </w:r>
          </w:p>
        </w:tc>
        <w:tc>
          <w:tcPr>
            <w:tcW w:w="709" w:type="dxa"/>
            <w:vAlign w:val="center"/>
          </w:tcPr>
          <w:p>
            <w:pPr>
              <w:spacing w:line="400" w:lineRule="exact"/>
              <w:ind w:firstLine="28"/>
              <w:jc w:val="center"/>
              <w:rPr>
                <w:rFonts w:hAnsi="宋体"/>
                <w:sz w:val="21"/>
                <w:szCs w:val="21"/>
              </w:rPr>
            </w:pPr>
            <w:r>
              <w:rPr>
                <w:rFonts w:hint="eastAsia" w:hAnsi="宋体"/>
                <w:sz w:val="21"/>
                <w:szCs w:val="21"/>
              </w:rPr>
              <w:t>35</w:t>
            </w:r>
          </w:p>
        </w:tc>
        <w:tc>
          <w:tcPr>
            <w:tcW w:w="4819" w:type="dxa"/>
            <w:vAlign w:val="center"/>
          </w:tcPr>
          <w:p>
            <w:pPr>
              <w:spacing w:line="400" w:lineRule="exact"/>
              <w:rPr>
                <w:rFonts w:hint="eastAsia" w:hAnsi="宋体"/>
                <w:sz w:val="21"/>
                <w:szCs w:val="21"/>
              </w:rPr>
            </w:pPr>
            <w:r>
              <w:rPr>
                <w:rFonts w:hint="eastAsia" w:hAnsi="宋体"/>
                <w:sz w:val="21"/>
                <w:szCs w:val="21"/>
              </w:rPr>
              <w:t>以本次最低有效投标报价为基准价，投标报价得分</w:t>
            </w:r>
            <w:r>
              <w:rPr>
                <w:rFonts w:hAnsi="宋体"/>
                <w:sz w:val="21"/>
                <w:szCs w:val="21"/>
              </w:rPr>
              <w:t>=(基准价／投标报价)</w:t>
            </w:r>
            <w:r>
              <w:rPr>
                <w:rFonts w:hint="eastAsia" w:hAnsi="宋体"/>
                <w:sz w:val="21"/>
                <w:szCs w:val="21"/>
              </w:rPr>
              <w:t xml:space="preserve"> </w:t>
            </w:r>
            <w:r>
              <w:rPr>
                <w:rFonts w:hint="eastAsia" w:hAnsi="宋体"/>
                <w:sz w:val="22"/>
                <w:szCs w:val="21"/>
              </w:rPr>
              <w:t>*35</w:t>
            </w:r>
          </w:p>
          <w:p>
            <w:pPr>
              <w:numPr>
                <w:ilvl w:val="0"/>
                <w:numId w:val="7"/>
              </w:numPr>
              <w:spacing w:line="400" w:lineRule="exact"/>
              <w:rPr>
                <w:rFonts w:hint="eastAsia" w:hAnsi="宋体"/>
                <w:sz w:val="21"/>
                <w:szCs w:val="21"/>
              </w:rPr>
            </w:pPr>
            <w:r>
              <w:rPr>
                <w:rFonts w:hint="eastAsia" w:hAnsi="宋体"/>
                <w:sz w:val="21"/>
                <w:szCs w:val="21"/>
              </w:rPr>
              <w:t>根据财库[2011]181号文，对小型和微型企业产品的价格给予6%的扣除，用扣除后的价格参与评审。</w:t>
            </w:r>
          </w:p>
          <w:p>
            <w:pPr>
              <w:numPr>
                <w:ilvl w:val="0"/>
                <w:numId w:val="7"/>
              </w:numPr>
              <w:spacing w:line="400" w:lineRule="exact"/>
              <w:rPr>
                <w:rFonts w:hAnsi="宋体"/>
                <w:sz w:val="21"/>
                <w:szCs w:val="21"/>
              </w:rPr>
            </w:pPr>
            <w:r>
              <w:rPr>
                <w:rFonts w:hint="eastAsia" w:hAnsi="宋体"/>
                <w:sz w:val="21"/>
                <w:szCs w:val="21"/>
              </w:rPr>
              <w:t>根据川财采[2015]33号文，对失信行为投标人给予6%/次的报价累加加成，用加成后的价格参与评审，若加成后的报价超过预算的，视为无效投标。</w:t>
            </w:r>
          </w:p>
        </w:tc>
        <w:tc>
          <w:tcPr>
            <w:tcW w:w="1633" w:type="dxa"/>
            <w:vAlign w:val="center"/>
          </w:tcPr>
          <w:p>
            <w:pPr>
              <w:spacing w:line="400" w:lineRule="exact"/>
              <w:ind w:left="-38"/>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vAlign w:val="center"/>
          </w:tcPr>
          <w:p>
            <w:pPr>
              <w:spacing w:line="400" w:lineRule="exact"/>
              <w:ind w:firstLine="28"/>
              <w:jc w:val="center"/>
              <w:rPr>
                <w:rFonts w:hAnsi="宋体"/>
                <w:sz w:val="21"/>
                <w:szCs w:val="21"/>
              </w:rPr>
            </w:pPr>
            <w:r>
              <w:rPr>
                <w:rFonts w:hint="eastAsia" w:hAnsi="宋体"/>
                <w:sz w:val="21"/>
                <w:szCs w:val="21"/>
              </w:rPr>
              <w:t>2</w:t>
            </w:r>
          </w:p>
        </w:tc>
        <w:tc>
          <w:tcPr>
            <w:tcW w:w="1793" w:type="dxa"/>
            <w:vAlign w:val="center"/>
          </w:tcPr>
          <w:p>
            <w:pPr>
              <w:spacing w:line="400" w:lineRule="exact"/>
              <w:ind w:firstLine="28"/>
              <w:jc w:val="center"/>
              <w:rPr>
                <w:rFonts w:hAnsi="宋体"/>
                <w:sz w:val="21"/>
                <w:szCs w:val="21"/>
              </w:rPr>
            </w:pPr>
            <w:r>
              <w:rPr>
                <w:rFonts w:hint="eastAsia" w:hAnsi="宋体"/>
                <w:sz w:val="21"/>
                <w:szCs w:val="21"/>
              </w:rPr>
              <w:t>技术和商务及其他要求50%</w:t>
            </w:r>
          </w:p>
        </w:tc>
        <w:tc>
          <w:tcPr>
            <w:tcW w:w="709" w:type="dxa"/>
            <w:vAlign w:val="center"/>
          </w:tcPr>
          <w:p>
            <w:pPr>
              <w:spacing w:line="400" w:lineRule="exact"/>
              <w:ind w:firstLine="28"/>
              <w:jc w:val="center"/>
              <w:rPr>
                <w:rFonts w:hAnsi="宋体"/>
                <w:sz w:val="21"/>
                <w:szCs w:val="21"/>
              </w:rPr>
            </w:pPr>
            <w:r>
              <w:rPr>
                <w:rFonts w:hint="eastAsia" w:hAnsi="宋体"/>
                <w:sz w:val="21"/>
                <w:szCs w:val="21"/>
              </w:rPr>
              <w:t>50</w:t>
            </w:r>
          </w:p>
        </w:tc>
        <w:tc>
          <w:tcPr>
            <w:tcW w:w="4819" w:type="dxa"/>
            <w:vAlign w:val="center"/>
          </w:tcPr>
          <w:p>
            <w:pPr>
              <w:rPr>
                <w:rFonts w:hAnsi="宋体"/>
                <w:sz w:val="21"/>
                <w:szCs w:val="21"/>
              </w:rPr>
            </w:pPr>
            <w:r>
              <w:rPr>
                <w:rFonts w:hint="eastAsia" w:hAnsi="宋体"/>
                <w:sz w:val="21"/>
                <w:szCs w:val="21"/>
              </w:rPr>
              <w:t>技术、商务及其他要求低于招标文件第六章要求的（负偏离），</w:t>
            </w:r>
            <w:r>
              <w:rPr>
                <w:rFonts w:hint="eastAsia" w:ascii="华文宋体" w:hAnsi="华文宋体" w:eastAsia="华文宋体" w:cs="宋体"/>
                <w:bCs/>
                <w:sz w:val="21"/>
                <w:szCs w:val="24"/>
              </w:rPr>
              <w:t>★号参数</w:t>
            </w:r>
            <w:r>
              <w:rPr>
                <w:rFonts w:hint="eastAsia" w:hAnsi="宋体"/>
                <w:sz w:val="21"/>
                <w:szCs w:val="21"/>
              </w:rPr>
              <w:t>负偏离一项扣5分，一般参数负偏离一项扣2分，扣完为止。</w:t>
            </w:r>
          </w:p>
        </w:tc>
        <w:tc>
          <w:tcPr>
            <w:tcW w:w="1633" w:type="dxa"/>
            <w:vAlign w:val="center"/>
          </w:tcPr>
          <w:p>
            <w:pPr>
              <w:spacing w:line="400" w:lineRule="exact"/>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5" w:hRule="atLeast"/>
        </w:trPr>
        <w:tc>
          <w:tcPr>
            <w:tcW w:w="725" w:type="dxa"/>
            <w:vAlign w:val="center"/>
          </w:tcPr>
          <w:p>
            <w:pPr>
              <w:spacing w:line="400" w:lineRule="exact"/>
              <w:ind w:firstLine="28"/>
              <w:jc w:val="center"/>
              <w:rPr>
                <w:rFonts w:hAnsi="宋体"/>
                <w:sz w:val="21"/>
                <w:szCs w:val="21"/>
              </w:rPr>
            </w:pPr>
            <w:r>
              <w:rPr>
                <w:rFonts w:hint="eastAsia" w:hAnsi="宋体"/>
                <w:sz w:val="21"/>
                <w:szCs w:val="21"/>
              </w:rPr>
              <w:t>3</w:t>
            </w:r>
          </w:p>
        </w:tc>
        <w:tc>
          <w:tcPr>
            <w:tcW w:w="1793" w:type="dxa"/>
            <w:vAlign w:val="center"/>
          </w:tcPr>
          <w:p>
            <w:pPr>
              <w:spacing w:line="400" w:lineRule="exact"/>
              <w:ind w:firstLine="546" w:firstLineChars="260"/>
              <w:rPr>
                <w:rFonts w:hAnsi="宋体"/>
                <w:sz w:val="21"/>
                <w:szCs w:val="21"/>
              </w:rPr>
            </w:pPr>
            <w:r>
              <w:rPr>
                <w:rFonts w:hint="eastAsia" w:hAnsi="宋体"/>
                <w:sz w:val="21"/>
                <w:szCs w:val="21"/>
              </w:rPr>
              <w:t>业绩8%</w:t>
            </w:r>
          </w:p>
        </w:tc>
        <w:tc>
          <w:tcPr>
            <w:tcW w:w="709" w:type="dxa"/>
            <w:vAlign w:val="center"/>
          </w:tcPr>
          <w:p>
            <w:pPr>
              <w:spacing w:line="400" w:lineRule="exact"/>
              <w:ind w:firstLine="28"/>
              <w:jc w:val="center"/>
              <w:rPr>
                <w:rFonts w:hAnsi="宋体"/>
                <w:sz w:val="21"/>
                <w:szCs w:val="21"/>
              </w:rPr>
            </w:pPr>
            <w:r>
              <w:rPr>
                <w:rFonts w:hint="eastAsia" w:hAnsi="宋体"/>
                <w:sz w:val="21"/>
                <w:szCs w:val="21"/>
              </w:rPr>
              <w:t>8</w:t>
            </w:r>
          </w:p>
        </w:tc>
        <w:tc>
          <w:tcPr>
            <w:tcW w:w="4819" w:type="dxa"/>
            <w:vAlign w:val="center"/>
          </w:tcPr>
          <w:p>
            <w:pPr>
              <w:spacing w:line="400" w:lineRule="exact"/>
              <w:ind w:firstLine="28"/>
              <w:rPr>
                <w:rFonts w:hAnsi="宋体"/>
                <w:sz w:val="21"/>
                <w:szCs w:val="21"/>
              </w:rPr>
            </w:pPr>
            <w:r>
              <w:rPr>
                <w:rFonts w:hint="eastAsia" w:hAnsi="宋体"/>
                <w:sz w:val="21"/>
                <w:szCs w:val="21"/>
              </w:rPr>
              <w:t>评标委员会根据投标人</w:t>
            </w:r>
            <w:r>
              <w:rPr>
                <w:rFonts w:hint="eastAsia" w:hAnsi="宋体"/>
                <w:sz w:val="21"/>
                <w:szCs w:val="21"/>
                <w:lang w:eastAsia="zh-CN"/>
              </w:rPr>
              <w:t>或生产厂家</w:t>
            </w:r>
            <w:r>
              <w:rPr>
                <w:rFonts w:hint="eastAsia" w:hAnsi="宋体"/>
                <w:sz w:val="21"/>
                <w:szCs w:val="21"/>
              </w:rPr>
              <w:t>提供的同类产品销售总业绩（201</w:t>
            </w:r>
            <w:r>
              <w:rPr>
                <w:rFonts w:hint="eastAsia" w:hAnsi="宋体"/>
                <w:sz w:val="21"/>
                <w:szCs w:val="21"/>
                <w:lang w:val="en-US" w:eastAsia="zh-CN"/>
              </w:rPr>
              <w:t>4</w:t>
            </w:r>
            <w:r>
              <w:rPr>
                <w:rFonts w:hint="eastAsia" w:hAnsi="宋体"/>
                <w:sz w:val="21"/>
                <w:szCs w:val="21"/>
              </w:rPr>
              <w:t>年-至今）进行综合评定，每有一个销售业绩得</w:t>
            </w:r>
            <w:r>
              <w:rPr>
                <w:rFonts w:hint="eastAsia" w:hAnsi="宋体"/>
                <w:sz w:val="21"/>
                <w:szCs w:val="21"/>
                <w:lang w:val="en-US" w:eastAsia="zh-CN"/>
              </w:rPr>
              <w:t>2</w:t>
            </w:r>
            <w:r>
              <w:rPr>
                <w:rFonts w:hint="eastAsia" w:hAnsi="宋体"/>
                <w:sz w:val="21"/>
                <w:szCs w:val="21"/>
              </w:rPr>
              <w:t>分，最多得8分。</w:t>
            </w:r>
          </w:p>
        </w:tc>
        <w:tc>
          <w:tcPr>
            <w:tcW w:w="1633" w:type="dxa"/>
            <w:vAlign w:val="center"/>
          </w:tcPr>
          <w:p>
            <w:pPr>
              <w:spacing w:line="400" w:lineRule="exact"/>
              <w:ind w:left="-38"/>
              <w:rPr>
                <w:rFonts w:hAnsi="宋体"/>
                <w:sz w:val="21"/>
                <w:szCs w:val="21"/>
              </w:rPr>
            </w:pPr>
            <w:r>
              <w:rPr>
                <w:rFonts w:hint="eastAsia" w:hAnsi="宋体"/>
                <w:sz w:val="21"/>
                <w:szCs w:val="21"/>
              </w:rPr>
              <w:t>以销售合同或中标通知书为准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4</w:t>
            </w:r>
          </w:p>
        </w:tc>
        <w:tc>
          <w:tcPr>
            <w:tcW w:w="179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rPr>
                <w:rFonts w:hAnsi="宋体"/>
                <w:sz w:val="21"/>
                <w:szCs w:val="21"/>
              </w:rPr>
            </w:pPr>
            <w:r>
              <w:rPr>
                <w:rFonts w:hint="eastAsia" w:hAnsi="宋体"/>
                <w:sz w:val="21"/>
                <w:szCs w:val="21"/>
              </w:rPr>
              <w:t xml:space="preserve">  售后服务3%</w:t>
            </w:r>
          </w:p>
        </w:tc>
        <w:tc>
          <w:tcPr>
            <w:tcW w:w="70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3</w:t>
            </w:r>
          </w:p>
        </w:tc>
        <w:tc>
          <w:tcPr>
            <w:tcW w:w="48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rPr>
                <w:rFonts w:hAnsi="宋体"/>
                <w:sz w:val="21"/>
                <w:szCs w:val="21"/>
              </w:rPr>
            </w:pPr>
            <w:r>
              <w:rPr>
                <w:rFonts w:hint="eastAsia" w:hAnsi="宋体"/>
                <w:sz w:val="21"/>
                <w:szCs w:val="21"/>
              </w:rPr>
              <w:t>根据投标人承诺的质量保证范围，本地化售后服务，维修响应时间，人员培训计划等进行综合分析比较评分，最好得3分；一般得2分；差不得分。</w:t>
            </w:r>
          </w:p>
        </w:tc>
        <w:tc>
          <w:tcPr>
            <w:tcW w:w="1633" w:type="dxa"/>
            <w:tcBorders>
              <w:top w:val="single" w:color="auto" w:sz="4" w:space="0"/>
              <w:left w:val="single" w:color="auto" w:sz="4" w:space="0"/>
              <w:bottom w:val="single" w:color="auto" w:sz="4" w:space="0"/>
              <w:right w:val="single" w:color="auto" w:sz="4" w:space="0"/>
            </w:tcBorders>
            <w:vAlign w:val="center"/>
          </w:tcPr>
          <w:p>
            <w:pPr>
              <w:spacing w:line="400" w:lineRule="exact"/>
              <w:ind w:left="-38"/>
              <w:rPr>
                <w:rFonts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5</w:t>
            </w:r>
          </w:p>
        </w:tc>
        <w:tc>
          <w:tcPr>
            <w:tcW w:w="179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节能、环保2%</w:t>
            </w:r>
          </w:p>
        </w:tc>
        <w:tc>
          <w:tcPr>
            <w:tcW w:w="70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2</w:t>
            </w:r>
          </w:p>
        </w:tc>
        <w:tc>
          <w:tcPr>
            <w:tcW w:w="48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rPr>
                <w:rFonts w:hAnsi="宋体"/>
                <w:sz w:val="21"/>
                <w:szCs w:val="21"/>
              </w:rPr>
            </w:pPr>
            <w:r>
              <w:rPr>
                <w:rFonts w:hint="eastAsia" w:hAnsi="宋体"/>
                <w:sz w:val="21"/>
                <w:szCs w:val="21"/>
              </w:rPr>
              <w:t>投标人投标产品中每有一项为节能产品政府采购清单中的产品的得0.5分，每有一项为环境标志产品政府采购清单中的产品的得0.5分，投标人投标产品中每有一项产品同时为节能产品政府采购清单和环境标志产品政府采购清单中的产品的得1分，最多得2分。（提供清单复印件）</w:t>
            </w:r>
          </w:p>
        </w:tc>
        <w:tc>
          <w:tcPr>
            <w:tcW w:w="1633" w:type="dxa"/>
            <w:tcBorders>
              <w:top w:val="single" w:color="auto" w:sz="4" w:space="0"/>
              <w:left w:val="single" w:color="auto" w:sz="4" w:space="0"/>
              <w:bottom w:val="single" w:color="auto" w:sz="4" w:space="0"/>
              <w:right w:val="single" w:color="auto" w:sz="4" w:space="0"/>
            </w:tcBorders>
            <w:vAlign w:val="center"/>
          </w:tcPr>
          <w:p>
            <w:pPr>
              <w:spacing w:line="400" w:lineRule="exact"/>
              <w:ind w:left="-38"/>
              <w:rPr>
                <w:rFonts w:hAnsi="宋体"/>
                <w:sz w:val="21"/>
                <w:szCs w:val="21"/>
              </w:rPr>
            </w:pPr>
            <w:r>
              <w:rPr>
                <w:rFonts w:hint="eastAsia" w:hAnsi="宋体"/>
                <w:sz w:val="21"/>
                <w:szCs w:val="21"/>
              </w:rPr>
              <w:t>以《中国政府采购网》最新颁布清单为准。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trPr>
        <w:tc>
          <w:tcPr>
            <w:tcW w:w="725"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6</w:t>
            </w:r>
          </w:p>
        </w:tc>
        <w:tc>
          <w:tcPr>
            <w:tcW w:w="179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投标文件的</w:t>
            </w:r>
          </w:p>
          <w:p>
            <w:pPr>
              <w:spacing w:line="400" w:lineRule="exact"/>
              <w:ind w:firstLine="28"/>
              <w:jc w:val="center"/>
              <w:rPr>
                <w:rFonts w:hAnsi="宋体"/>
                <w:sz w:val="21"/>
                <w:szCs w:val="21"/>
              </w:rPr>
            </w:pPr>
            <w:r>
              <w:rPr>
                <w:rFonts w:hint="eastAsia" w:hAnsi="宋体"/>
                <w:sz w:val="21"/>
                <w:szCs w:val="21"/>
              </w:rPr>
              <w:t>规范性2%</w:t>
            </w:r>
          </w:p>
        </w:tc>
        <w:tc>
          <w:tcPr>
            <w:tcW w:w="70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jc w:val="center"/>
              <w:rPr>
                <w:rFonts w:hAnsi="宋体"/>
                <w:sz w:val="21"/>
                <w:szCs w:val="21"/>
              </w:rPr>
            </w:pPr>
            <w:r>
              <w:rPr>
                <w:rFonts w:hint="eastAsia" w:hAnsi="宋体"/>
                <w:sz w:val="21"/>
                <w:szCs w:val="21"/>
              </w:rPr>
              <w:t>2</w:t>
            </w:r>
          </w:p>
        </w:tc>
        <w:tc>
          <w:tcPr>
            <w:tcW w:w="48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8"/>
              <w:rPr>
                <w:rFonts w:hAnsi="宋体"/>
                <w:sz w:val="21"/>
                <w:szCs w:val="21"/>
              </w:rPr>
            </w:pPr>
            <w:r>
              <w:rPr>
                <w:rFonts w:hint="eastAsia" w:hAnsi="宋体"/>
                <w:sz w:val="21"/>
                <w:szCs w:val="21"/>
              </w:rPr>
              <w:t>投标文件制作规范，没有细微偏差情形的得2分；有一项细微偏差扣0.5分，直至该项分值扣完为止。</w:t>
            </w:r>
          </w:p>
        </w:tc>
        <w:tc>
          <w:tcPr>
            <w:tcW w:w="1633" w:type="dxa"/>
            <w:tcBorders>
              <w:top w:val="single" w:color="auto" w:sz="4" w:space="0"/>
              <w:left w:val="single" w:color="auto" w:sz="4" w:space="0"/>
              <w:bottom w:val="single" w:color="auto" w:sz="4" w:space="0"/>
              <w:right w:val="single" w:color="auto" w:sz="4" w:space="0"/>
            </w:tcBorders>
            <w:vAlign w:val="center"/>
          </w:tcPr>
          <w:p>
            <w:pPr>
              <w:spacing w:line="400" w:lineRule="exact"/>
              <w:ind w:left="-38"/>
              <w:rPr>
                <w:rFonts w:hAnsi="宋体"/>
                <w:sz w:val="21"/>
                <w:szCs w:val="21"/>
              </w:rPr>
            </w:pPr>
          </w:p>
        </w:tc>
      </w:tr>
    </w:tbl>
    <w:p>
      <w:pPr>
        <w:numPr>
          <w:ilvl w:val="0"/>
          <w:numId w:val="0"/>
        </w:numPr>
        <w:rPr>
          <w:rFonts w:hint="eastAsia" w:ascii="宋体" w:hAnsi="宋体" w:eastAsia="宋体" w:cs="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Eʩ">
    <w:altName w:val="Arial Unicode MS"/>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SimSun-ExtB">
    <w:panose1 w:val="02010609060101010101"/>
    <w:charset w:val="86"/>
    <w:family w:val="modern"/>
    <w:pitch w:val="default"/>
    <w:sig w:usb0="00000001" w:usb1="02000000" w:usb2="00000000" w:usb3="00000000" w:csb0="00040001" w:csb1="00000000"/>
  </w:font>
  <w:font w:name="hakuyoxingshu7000">
    <w:altName w:val="宋体"/>
    <w:panose1 w:val="02000600000000000000"/>
    <w:charset w:val="86"/>
    <w:family w:val="auto"/>
    <w:pitch w:val="default"/>
    <w:sig w:usb0="00000000" w:usb1="00000000" w:usb2="0000003F" w:usb3="00000000" w:csb0="603F00FF" w:csb1="FFFF0000"/>
  </w:font>
  <w:font w:name="方正行楷简体">
    <w:altName w:val="Arial Unicode MS"/>
    <w:panose1 w:val="02010601030101010101"/>
    <w:charset w:val="86"/>
    <w:family w:val="auto"/>
    <w:pitch w:val="default"/>
    <w:sig w:usb0="00000000" w:usb1="00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时尚中黑简体">
    <w:altName w:val="黑体"/>
    <w:panose1 w:val="01010104010101010101"/>
    <w:charset w:val="86"/>
    <w:family w:val="auto"/>
    <w:pitch w:val="default"/>
    <w:sig w:usb0="00000000" w:usb1="00000000" w:usb2="00000012"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5B5938"/>
    <w:multiLevelType w:val="multilevel"/>
    <w:tmpl w:val="555B593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F6C8A3"/>
    <w:multiLevelType w:val="singleLevel"/>
    <w:tmpl w:val="58F6C8A3"/>
    <w:lvl w:ilvl="0" w:tentative="0">
      <w:start w:val="3"/>
      <w:numFmt w:val="chineseCounting"/>
      <w:suff w:val="nothing"/>
      <w:lvlText w:val="（%1）"/>
      <w:lvlJc w:val="left"/>
    </w:lvl>
  </w:abstractNum>
  <w:abstractNum w:abstractNumId="2">
    <w:nsid w:val="58F6D050"/>
    <w:multiLevelType w:val="singleLevel"/>
    <w:tmpl w:val="58F6D050"/>
    <w:lvl w:ilvl="0" w:tentative="0">
      <w:start w:val="1"/>
      <w:numFmt w:val="decimal"/>
      <w:suff w:val="nothing"/>
      <w:lvlText w:val="%1."/>
      <w:lvlJc w:val="left"/>
    </w:lvl>
  </w:abstractNum>
  <w:abstractNum w:abstractNumId="3">
    <w:nsid w:val="58F6D2D0"/>
    <w:multiLevelType w:val="singleLevel"/>
    <w:tmpl w:val="58F6D2D0"/>
    <w:lvl w:ilvl="0" w:tentative="0">
      <w:start w:val="4"/>
      <w:numFmt w:val="decimal"/>
      <w:suff w:val="nothing"/>
      <w:lvlText w:val="（%1）"/>
      <w:lvlJc w:val="left"/>
    </w:lvl>
  </w:abstractNum>
  <w:abstractNum w:abstractNumId="4">
    <w:nsid w:val="58F6D340"/>
    <w:multiLevelType w:val="singleLevel"/>
    <w:tmpl w:val="58F6D340"/>
    <w:lvl w:ilvl="0" w:tentative="0">
      <w:start w:val="1"/>
      <w:numFmt w:val="decimal"/>
      <w:suff w:val="nothing"/>
      <w:lvlText w:val="%1."/>
      <w:lvlJc w:val="left"/>
    </w:lvl>
  </w:abstractNum>
  <w:abstractNum w:abstractNumId="5">
    <w:nsid w:val="58F81F98"/>
    <w:multiLevelType w:val="singleLevel"/>
    <w:tmpl w:val="58F81F98"/>
    <w:lvl w:ilvl="0" w:tentative="0">
      <w:start w:val="4"/>
      <w:numFmt w:val="decimal"/>
      <w:suff w:val="nothing"/>
      <w:lvlText w:val="（%1）"/>
      <w:lvlJc w:val="left"/>
    </w:lvl>
  </w:abstractNum>
  <w:abstractNum w:abstractNumId="6">
    <w:nsid w:val="58F8207D"/>
    <w:multiLevelType w:val="singleLevel"/>
    <w:tmpl w:val="58F8207D"/>
    <w:lvl w:ilvl="0" w:tentative="0">
      <w:start w:val="1"/>
      <w:numFmt w:val="upperLetter"/>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BE2E9D"/>
    <w:rsid w:val="091F5FC5"/>
    <w:rsid w:val="11705726"/>
    <w:rsid w:val="3C341B94"/>
    <w:rsid w:val="4A1D5565"/>
    <w:rsid w:val="50313177"/>
    <w:rsid w:val="50BE2E9D"/>
    <w:rsid w:val="541B5A4B"/>
    <w:rsid w:val="59E36792"/>
    <w:rsid w:val="617B1BE6"/>
    <w:rsid w:val="63E94D53"/>
    <w:rsid w:val="7466434B"/>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2017-04-19T01:54:00Z</dcterms:created>
  <dc:creator>Administrator</dc:creator>
  <cp:lastModifiedBy>Administrator</cp:lastModifiedBy>
  <cp:lastPrinted>2017-04-20T06:43:18Z</cp:lastPrinted>
  <dcterms:modified xsi:type="dcterms:W3CDTF">2017-04-24T02:05:55Z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